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3394"/>
        <w:gridCol w:w="1525"/>
        <w:gridCol w:w="1315"/>
        <w:gridCol w:w="1069"/>
        <w:gridCol w:w="1416"/>
        <w:gridCol w:w="1315"/>
        <w:gridCol w:w="1416"/>
        <w:gridCol w:w="773"/>
        <w:gridCol w:w="949"/>
      </w:tblGrid>
      <w:tr w:rsidR="00C33FCD" w:rsidRPr="00C33FCD" w:rsidTr="00C33FCD">
        <w:trPr>
          <w:trHeight w:val="360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24"/>
                <w:szCs w:val="24"/>
                <w:lang w:eastAsia="it-IT"/>
              </w:rPr>
              <w:t>SETTORE ECONOMICO-FINANZIARIO</w:t>
            </w:r>
          </w:p>
        </w:tc>
      </w:tr>
      <w:tr w:rsidR="00C33FCD" w:rsidRPr="00C33FCD" w:rsidTr="00C33FCD">
        <w:trPr>
          <w:trHeight w:val="402"/>
        </w:trPr>
        <w:tc>
          <w:tcPr>
            <w:tcW w:w="131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20"/>
                <w:szCs w:val="20"/>
                <w:lang w:eastAsia="it-IT"/>
              </w:rPr>
              <w:t xml:space="preserve">Procedimenti amministrativi </w:t>
            </w:r>
          </w:p>
        </w:tc>
      </w:tr>
      <w:tr w:rsidR="00C33FCD" w:rsidRPr="00C33FCD" w:rsidTr="00C33FCD">
        <w:trPr>
          <w:trHeight w:val="499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N.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DENOMINAZIONE DEL PROCEDIMENTO AMMINISTRATIVO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SETTORE/UFFICIO  COMPETENTE ALL'ISTRUTTORIA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ATTO/EVENTO INIZIO DEL PROCEDIMENTO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TERMINE FINALE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PROVVEDIMENTO  FINALE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RESPONSABILE DEL PROCEDIMENTO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RESPONSABILE DEL PROVVEDIMENTO FINALE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INFORMATIZZAZIONE</w:t>
            </w:r>
          </w:p>
        </w:tc>
      </w:tr>
      <w:tr w:rsidR="00C33FCD" w:rsidRPr="00C33FCD" w:rsidTr="00C33FCD">
        <w:trPr>
          <w:trHeight w:val="34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sz w:val="14"/>
                <w:szCs w:val="14"/>
                <w:lang w:eastAsia="it-IT"/>
              </w:rPr>
            </w:pPr>
            <w:r w:rsidRPr="00C33FCD">
              <w:rPr>
                <w:rFonts w:ascii="Times New Roman" w:eastAsia="Times New Roman" w:hAnsi="Times New Roman" w:cs="Aharoni" w:hint="cs"/>
                <w:b/>
                <w:bCs/>
                <w:sz w:val="14"/>
                <w:szCs w:val="14"/>
                <w:lang w:eastAsia="it-IT"/>
              </w:rPr>
              <w:t>PARZIALE</w:t>
            </w:r>
          </w:p>
        </w:tc>
      </w:tr>
      <w:tr w:rsidR="00C33FCD" w:rsidRPr="00C33FCD" w:rsidTr="00C33FCD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PREVISIONE ANNUALE E PLURIENNALE E RELATIVI ATTI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PROGRAMMAZIONE (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D.U.P.-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NOTA INTEGRATIVA E ALLEGATI VARI)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ANALISI GESTIONALE  E PROPOSTE SETTORIALI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LEGGE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RIFERIMENTO / DECRETO MININTERNO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C.C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APPROVAZIONE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ANALISI DEL PIANO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AMMORTAMENTO  MUTUI  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B.O.C.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VERIFICA PROSPETTO FINANZIARIO DELLE OPERE PUBBLICHE- COMPATIBILITA' FONTI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FINANZIAMENTO- VERIFICA EQUILIBRIO PARTE CAPITALE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PAREGGIO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BILANCIO/PATTO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STABILITA': ANALISI NORMATIVA - MONITORAGGIO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hyperlink r:id="rId4" w:history="1"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 xml:space="preserve">TRASMISSIONE MODELLO  OBIETTIVI E MONITORAGGIO DEL PATTO </w:t>
              </w:r>
              <w:proofErr w:type="spellStart"/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>DI</w:t>
              </w:r>
              <w:proofErr w:type="spellEnd"/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 xml:space="preserve"> STABILITA'/PAREGGIO </w:t>
              </w:r>
              <w:proofErr w:type="spellStart"/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>DI</w:t>
              </w:r>
              <w:proofErr w:type="spellEnd"/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 xml:space="preserve"> BILANCIO SUL PORTALE MEF</w:t>
              </w:r>
            </w:hyperlink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EMANAZIONE DECRETO MINISTERO ECONOMIA E FINANZE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30 GIORNI DALLA PUBBLICAZIONE DEL DECRETO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RICEVUTA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AVVENUTA ACQUISIZIONE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DIRETTO A TUTTI GLI UFFICI NELLA REDAZIONE DELLE PROPRIE PREVISIONI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ENTRATA 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SPESA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QUANTIFICAZIONE DEI TRASFERIMENTI STATALI E DEI TAGLI SPENDING REVIEW PREVIA ANALISI, STUDIO E INTERPRETAZIONE DELLA SEMPRE PIU' COMPLESSA E CORPOSA  NORMATIVA NAZIONALE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RIFERIMENTO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CALCOLO DELLA CAPACITA'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INDEBITAMENTO DELL'ENTE AI FINI DELL'ACCENSIONE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NUOVI MUTUI NEL RISPETTO DEI VINCOLI IMPOSTI DALLA NORMATIVA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RIFERIMENTO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RICHIESTA UFFICIO TECNICO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TEMPI RISTRETTI RICHIESTI DALL'UFFICIO TECNICO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PROSPETTO SULLA CAPACITA'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INDEBITAMENTO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PROSPETTO DEI PARAMETRI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DEFICITARIETA'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PROSPETTO ALLEGATO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REDAZIONE DELLA RELAZIONE PREVISIONALE E PROGRAMMATICA E DEL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D.U.P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 PER LA PARTE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PROPRIA COMPETENZA E ASSEMBLAGGIO DELLE PARTI TRASMESSE DAI VARI UFFICI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SERVIZIO FINANZIARIO UFFICIO CONTROLLO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GESTIONE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ALLEGATO AL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6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REVISIONE NELLA REDAZIONE DEL PROPRIO PARERE AL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REDAZIONE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PARERE ALLEGATO AL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lastRenderedPageBreak/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REDAZIONE PEG - SUPPORTO UFFICIO CONTROLLO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GESTIONE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SERVIZIO FINANZIARIO CONTROLLO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GESTIONE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DOPO L'APPROVAZIONE DEL BILANCIO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ENTRO 30 GIORNI DALLA 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CONSIGLIO COMUNALE DEL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GIUNTA COMUNALE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TRASMISSIONE DEL CERTIFICATO AL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PREVISIONE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CERTIFICATO AL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DEL BILANCIO: ACCERTAMENTI - IMPEGNI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PRIOVVEDIMENTI E PROVVISORI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EMISSIONE MANDATI E REVERSALI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ind w:firstLineChars="200" w:firstLine="280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DEL BILANCIO: REVERSALI - MANDATI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DETERMINAZIONI DEGLI UFFICI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PUBBLICAZIONE ATTI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GIORNALE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CASSA CON REGOLARIZZAZIONE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PROVVISORI E CONTATTI CON LA TESORERIA COMUNALE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TESOWEB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REVERSALI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PROCEDIMENTO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DETERMINAZIONE TARIFFE TRIBUTI COMUNALI E SERVIZI A DOMANDA INDIVIDUALE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APPROVAZIONE DEL BILANCIO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G.C.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DETERMINAZ. TARIFFE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EQUILIBRI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30 SETTEMBRE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DELIBERA C.C.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VARIAZIONI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30-45 GG DALLA RICHIESTA DEI DIRIGENTI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DELIBERA C.C.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VARIAZIONI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PEG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30-45 GG DALLA RICHIESTA DEI DIRIGENTI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DELIBERA G.C.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ASSESTAMENTO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30 NOVEMBRE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DELIBERA C.C.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CONTO DEL BILANCIO (RENDICONTO)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RELAZIONI FINALI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GESTIONE E RIACCERTAMENTO RESIDUI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C.C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APPROVAZIONE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AGLI UFFICI NELLA PROCEDURA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ARIACCERTAMENTO DEI RESIDUI ATTIVI E PASSIVI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QUANTIFICAZIONE AVANZO/DISAVANZO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AMMINISTRAZIONE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PROSPETTO CONSUNTIVO DELLE OPERE PUBBLICHE E RELATIVE QUADRATURE FINANZIARIE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REDAZIONE PROSPETTO INVENTARIO COMPLETO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QUOTA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AMMORTAMENTO MUTUI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 - PATRIMONIO- RAGIONERIA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ELENCO DELLE SPESE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RAPPRESENZA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ALLEGATO AL 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QUANTIFICAZIONE DEI RISCONTI ATTIVI E PASSIVI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ALLEGATO DEI CODICI SIOPE PREVIO RISCONTRO DEGLI STESSI CON LA TESORERIA COMUNALE E LA BANCA D'ITALIA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lastRenderedPageBreak/>
              <w:t>26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PATTO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STABILITA': RICHIESTA EVENTUALI SPAZI FINANZIARI E ADESIONE PATTO NAZIONALE E REGIONALE ORIZZONTALE E VERTICALE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EMANAZIONE DECRETO MINISTERO ECONOMIA E FINANZE</w:t>
            </w: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br/>
              <w:t>/ REGIONE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TERMINI STABILITI DAL MINISTERO / REGIONE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ACQUISIZIONE RICEVUTA RICHIESTA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139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PATTO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STABILITA': CERTIFICAZIONE DEL SALDO OBIETTIVO FINALE ANNUALE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31 MARZO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TRASMISSIONE ON LINE SUL PORTALE MINISTERIALE E PRODUZIONE PROSPETTO DA ALLEGARE AL 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ALLA GIUNTA COMUNALE NELLA REDAZIONE DELLA PROPRIA RELAZIONE DA ALLAEGARE AL 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REVISIONE E ALL'UFFICIO PERSONALE NELLA QUNATIFICAZIONE DELLA SPESA DEL PERSONALE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FINANZIARIO/UFFICIO PERSONALE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SU RICHIESTA DELL'ORGANO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RELAZIONE DELL'ORGANO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REVISIONE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REVISIONE NELLA REDAZIONE DEL PROPRIO PARERE AL RENDICONTO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PROSPETTO DEGLI INDICI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BILANCIO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 APRILE DAL TERMINE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ESERCIZIO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TRASMISSIONE DEL CERTIFICATO AL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PREVISIONE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DA PROVV. LEGISLATIVO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CERTIFICATO AL CONTO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BILANCIO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hyperlink r:id="rId5" w:history="1">
              <w:r w:rsidRPr="00C33FCD">
                <w:rPr>
                  <w:rFonts w:ascii="Bookman Old Style" w:eastAsia="Times New Roman" w:hAnsi="Bookman Old Style" w:cs="Times New Roman"/>
                  <w:sz w:val="14"/>
                  <w:lang w:eastAsia="it-IT"/>
                </w:rPr>
                <w:t>PATTO DI STABILITA': MONITORAGGIO SEMESTRALE SUL PORTALE WWW.PATTOSTABILITA@TESORO.IT</w:t>
              </w:r>
            </w:hyperlink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EMANAZIONE DECRETO MINISTERO ECONOMIA E FINANZE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30 GIORNI DALLA PUBBLICAZIONE DEL DECRETO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RICEVUTA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AVVENUTA ACQUISIZIONE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ALL'UFFICIO CONTENZIOSO NELLA PROCEDURA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RECUPERO CREDITI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 - UFFICIO LEGALE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MESSA IN MORA DEL DEBITORE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90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DALLA MESSA IN MORA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INGIUNZIONE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PAGAMENTO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ATTIVITA'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PROCEDIMENTO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STIPULAZIONE CONTRATTI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RICHIESTA UFFICIO TECNICO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90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DALLA RICHIESTA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AUTORIZZAZIONE ALLA STIPULA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PROCEDIMENTO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STIPULAZIONE CONTRATTI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MUTUO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DELIBERA E ADOZIONE PROGETTO DEFINITIVO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60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DALL'ADOZIONE PROGETTO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PROVVEDIMENTO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CONTRAZIONE MUTUO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DEVOLUZIONE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FINANZIAMENTI PER ALTRI SCOPI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ATTO DELL'ORGANO POLITICO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60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DALLA DELIBERA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PROVVEDIMENTO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MODIFICA DESTINAZIONE FINANZIAMENTO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ACQUISIZIONE BENI E SERVIZI TRAMITE CONSIP E MEPA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TEMPI RICHIESTI DALLA PROCEDURA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DETERMINAZIONE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ACQUISTO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ACQUISIZIONE CIG SULL'AVCP PER LA TRACCIABILITA' DEI FLUSSI FINANZIARI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AL MOMENTO DELL'IMPEGNO DELLE SOMME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DETERMINAZIONE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1399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lastRenderedPageBreak/>
              <w:t>40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MONITORAGGIO SITUAZIONE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CASSA  E RAPPORTI CON LA TESORERIA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GIORNALIERA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RISCONTRO CON IL GIONALE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CASSA ED EMISSIONE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REVERSALI ED EVENTUALI MANDATI PER LE SPESE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TESORERIA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ESECUZIONE ED ESPROPRIAZIONE FORZATA NEI CONFRONTI DEGLI ENTI LOCALI ART. 159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D.LGS.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267/2000 - DICHIARAZIONE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IMPIGNORABILITA' SOMME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 FINE  DICEMBRE PER IL I SEMESTRE DELL'ANNO SUCCESSIVO E A FINE GIUGNO PER IL II SEMESTRE DELL'ANNO IN CORSO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GIUNTA COMUNALE DA NOTIFICARE AL TESORIERE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7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LIMITE 3/12 - 5/12  DELLE ENTRATE DEI PRIMI TRE TITOLI PER ANTICIPAZIONI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TESORERIA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 FINE DICEMBRE PER L'ANNO SUCCESSIVO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GIUNTA COMUNALE DA NOTIFICARE AL TESORIERE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CERTIFICAZIONE RITENUTE D'ACCONTO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28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SPEDIZIONE E/O CONSEGNA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QUADRATURE VERSAMENTI RITENUTE MODELLO 770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31 LUGLIO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ACQUISIZIONE RICEVUTA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STAMPA E CONTROLLO DEI MODELLI CUD PER REDDITI ASSIMILATI A QUELLI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LAVORO DIPENDENTE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28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SPEDIZIONE E/O CONSEGNA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GESTIONE ATTI INERENTI LE INDENNITA'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FUNZIONE E I CONTRIBUTI PREVIDENZIALI DEGLI AMMINISTRATORI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MENSILMENTE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EMISSIONE RELATIVI MANDATI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RAPPORTI CON I VARI ISTITUTI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PREVIDENZA (INPS- ENPAM-CASSA GEOMETRI- CASSA FORENSE)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PERIODICAMENT 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CERTIFICAZIONI / ESTRATTI CONTRIBUTIVI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TRASMISSIONE ON LINE MODELLO F24EP PER GLI AMMINISTRATORI E RAPPORTI CON L'AGENZIA DELLE ENTRATE E LA TESORERIA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IL 16 di</w:t>
            </w: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br/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ogno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mese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RICEVUTA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ACQUISIZIONE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TRASMISSIONE ON LINE MODELLO UNIEMENS PER GLI AMMINISTRATORI E RAPPORTI CON L'INPS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IL 30 DEL MESE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RICEVUTA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ACQUISIZIONE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IVA - TENUTA REGISTRI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IL 30 DEL MESE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AGGIORNAMENTO REGISTRI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IVA - EMISSIONE FATTURE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IL 30 DEL MESE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SPEDIZIONE FATTURE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GESTIONE IVA - LIQUIDAZIONE MENSILE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IL 15 DEL MESE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MANDATO E RICEVUTA ACQUISIZIONE MODELLO F24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IVA - DETERMINAZIONE DEL SALDO ANNUALE A DEBITO/CREDITO ED EVENTUALE VERSAMENTO CON MODELLO F24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ENTRO IL MESE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MARZO DELL'ANNO SUCCESSIVO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MANDATO E RICEVUTA ACQUISIZIONE MODELLO F24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COMPILAZIONE DICHIARAZIONE IVA ANNUALE E TRASMISSIONE DELLA STESSA ALL'ORGANO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REVISIONE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ENTRO IL MESE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SETTEMBRE DELL'ANNO SUCCESSIVO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ACQUISIZIONE RICEVUTA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lastRenderedPageBreak/>
              <w:t>55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GESTIONE CODICI SIOPE E RAPPORTI CON LA RAGIONERIA TERRITORIALE DELLO STATO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SU RICHIESTA DELLA RAGIONERIA GENERALE DELLO STATO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TEMPI INDICATI DALLA RAGIONERIA TERRITORIALE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INVIO PROSPETTI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RACCORDO E CHIARIMENTI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CERTIFICAZIONE ALLA CORTE DEI CONTI SULL'ESISTENZA O MENO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DEBITI FUORI BILANCIO ED EVENTUALE DISAVANZO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AMMINISTRAZIONE CON RIFERIMENTO ALL'ANNO PRECEDENTE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SU RICHIESTA DELLA CORTE DEI CONTI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ENTRO FEBBRAIO- MARZO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CERTIFICAZIONE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SUPPORTO RENDICONTI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 SETTORE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DETERMINAZIONE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RENDICONTO DELLE GESTIONI VINCOLATE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DETERMINAZIONE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RENDICONTO UFFICI DIVERSI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DETERMINAZIONE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6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RENDICONTO PERSONALE IN DISTACCO E/O CONVENZIONE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FEBBRAIO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COMUNICAZIONE ALLE AMMINISTRAZIONI INTERESSATE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RENDICONTO SPESE SOSTENUTE PER TURNAZIONI ELETTORALI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SU RICHIESTA DELL'AMMINISTRAZIO NE INTERESSATA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ENTRO SEI MESI DALLA TURNAZIONE ELETTORALE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TRASMISSIONE RENDICONTO ELETTORALE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GESTIONE SISTEMA OIL(CODIFICA CREDITORI E DEBITORI, CONTROLLO MODALITA'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PAGAMENTO E FORME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ACCREDITO), FIRMA DIGITALE, TRASMISSIONE ONLINE DISTINTA, STAMPA DEI MANDATI QUIETANZATI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GIORNALIERA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MANDATI E REVERSALI INFORMATICI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VERIFICHE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TESORERIA E CONTO DEL TESORIERE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CADENZA TRIMESTRALE O ANNUALE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ARCHIVIAZIONE E ALLEGATO AL RENDICONTO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163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GESTIONE AMMINISTRAZIONE APERTA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CUI AL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D.LGS.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33 DEL 14/03/2013</w:t>
            </w: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br/>
              <w:t xml:space="preserve">ANALISI PUNTUALE DEI PROVVEDIMENTI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LIQUIDAZIONE (CIG, CUP, DURC, EQUITALIA PER IMPORTI SUPERIORI A EURO 10,000, CONTO CORRENTE DEDICATO, CURRICULA DEI PROFESSIONISTI INCARICATI, COLLEGAMENTO DELLE DETERMINAZIONI E/O CONTRATTI) ED EMISSIONE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MANDATI NOMINATIVI.</w:t>
            </w: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br/>
              <w:t xml:space="preserve">INDIVIDUAZIONE DEI CASI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ESCLUSIONE DELL'OBBLIGO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PUBBLICAZIONE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CADENZA GIORNALIERA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AGGIORNAMENTO SUL SITO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"AMMINISTRAZION E APERTA"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CONTABILIZZAZIONE DEGLI INCASSI RELATIVI AI CONTI CORRENTI POSTALI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CADENZA SETTIMANALE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AGGIORNAMENTO ACCERTAMENTI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DEVOLUZIONE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FINANZIAMENTI PER ALTRI SCOPI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ATTO DELL'ORGANO POLITICO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60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DALLA DELIBERA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PROVVEDIMENTO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MODIFICA DESTINAZIONE FINANZIAMENTO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PROCEDIMENTI  "TRASPARENZA"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SERVIZIO FINANZIARIO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APPROVAZIONE BILANCIO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30/60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 DAL BILANCIO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DELIBERAZIONE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br/>
              <w:t xml:space="preserve">G.C.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APPROVAZIONE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C33FCD" w:rsidRPr="00C33FCD" w:rsidTr="00C33FCD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</w:pPr>
            <w:r w:rsidRPr="00C33FCD">
              <w:rPr>
                <w:rFonts w:ascii="Century" w:eastAsia="Times New Roman" w:hAnsi="Century" w:cs="Times New Roman"/>
                <w:color w:val="000000"/>
                <w:sz w:val="14"/>
                <w:szCs w:val="14"/>
                <w:lang w:eastAsia="it-IT"/>
              </w:rPr>
              <w:t>68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PRELEVAMENTO DAL FONDO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 xml:space="preserve"> RISERVA ORDINARIO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CONTABILITA' E GESTIONE DEL BILANCIO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 PRELEVAMENTO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 xml:space="preserve">15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GG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0"/>
                <w:szCs w:val="10"/>
                <w:lang w:eastAsia="it-IT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DELIBERA </w:t>
            </w:r>
            <w:proofErr w:type="spellStart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>DI</w:t>
            </w:r>
            <w:proofErr w:type="spellEnd"/>
            <w:r w:rsidRPr="00C33FCD">
              <w:rPr>
                <w:rFonts w:ascii="Bookman Old Style" w:eastAsia="Times New Roman" w:hAnsi="Bookman Old Style" w:cs="Times New Roman"/>
                <w:sz w:val="12"/>
                <w:szCs w:val="12"/>
                <w:lang w:eastAsia="it-IT"/>
              </w:rPr>
              <w:t xml:space="preserve"> PRELEVAMENTO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</w:pPr>
            <w:r w:rsidRPr="00C33FCD">
              <w:rPr>
                <w:rFonts w:ascii="Bookman Old Style" w:eastAsia="Times New Roman" w:hAnsi="Bookman Old Style" w:cs="Times New Roman"/>
                <w:sz w:val="14"/>
                <w:szCs w:val="14"/>
                <w:lang w:eastAsia="it-IT"/>
              </w:rPr>
              <w:t>RESP. SETTORE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FCD" w:rsidRPr="00C33FCD" w:rsidRDefault="00C33FCD" w:rsidP="00C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3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33FCD" w:rsidRPr="00C33FCD" w:rsidTr="00C33FC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FCD" w:rsidRPr="00C33FCD" w:rsidRDefault="00C33FCD" w:rsidP="00C3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0AAE" w:rsidRDefault="001A0AAE"/>
    <w:sectPr w:rsidR="001A0AAE" w:rsidSect="00C33FC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33FCD"/>
    <w:rsid w:val="001A0AAE"/>
    <w:rsid w:val="002E69D9"/>
    <w:rsid w:val="006A1336"/>
    <w:rsid w:val="00740734"/>
    <w:rsid w:val="00847EC3"/>
    <w:rsid w:val="00C3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3FC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3FCD"/>
    <w:rPr>
      <w:color w:val="800080"/>
      <w:u w:val="single"/>
    </w:rPr>
  </w:style>
  <w:style w:type="paragraph" w:customStyle="1" w:styleId="font5">
    <w:name w:val="font5"/>
    <w:basedOn w:val="Normale"/>
    <w:rsid w:val="00C33FC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4"/>
      <w:szCs w:val="14"/>
      <w:lang w:eastAsia="it-IT"/>
    </w:rPr>
  </w:style>
  <w:style w:type="paragraph" w:customStyle="1" w:styleId="font6">
    <w:name w:val="font6"/>
    <w:basedOn w:val="Normale"/>
    <w:rsid w:val="00C33FC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0"/>
      <w:szCs w:val="10"/>
      <w:lang w:eastAsia="it-IT"/>
    </w:rPr>
  </w:style>
  <w:style w:type="paragraph" w:customStyle="1" w:styleId="xl64">
    <w:name w:val="xl64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C33FCD"/>
    <w:pPr>
      <w:spacing w:before="100" w:beforeAutospacing="1" w:after="100" w:afterAutospacing="1" w:line="240" w:lineRule="auto"/>
    </w:pPr>
    <w:rPr>
      <w:rFonts w:ascii="Times New Roman" w:eastAsia="Times New Roman" w:hAnsi="Times New Roman" w:cs="Aharoni"/>
      <w:sz w:val="24"/>
      <w:szCs w:val="24"/>
      <w:lang w:eastAsia="it-IT"/>
    </w:rPr>
  </w:style>
  <w:style w:type="paragraph" w:customStyle="1" w:styleId="xl66">
    <w:name w:val="xl66"/>
    <w:basedOn w:val="Normale"/>
    <w:rsid w:val="00C33FCD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Century" w:eastAsia="Times New Roman" w:hAnsi="Century" w:cs="Times New Roman"/>
      <w:sz w:val="14"/>
      <w:szCs w:val="14"/>
      <w:lang w:eastAsia="it-IT"/>
    </w:rPr>
  </w:style>
  <w:style w:type="paragraph" w:customStyle="1" w:styleId="xl67">
    <w:name w:val="xl67"/>
    <w:basedOn w:val="Normale"/>
    <w:rsid w:val="00C33FCD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Century" w:eastAsia="Times New Roman" w:hAnsi="Century" w:cs="Times New Roman"/>
      <w:sz w:val="14"/>
      <w:szCs w:val="14"/>
      <w:lang w:eastAsia="it-IT"/>
    </w:rPr>
  </w:style>
  <w:style w:type="paragraph" w:customStyle="1" w:styleId="xl68">
    <w:name w:val="xl68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entury" w:eastAsia="Times New Roman" w:hAnsi="Century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entury" w:eastAsia="Times New Roman" w:hAnsi="Century" w:cs="Times New Roman"/>
      <w:sz w:val="14"/>
      <w:szCs w:val="14"/>
      <w:lang w:eastAsia="it-IT"/>
    </w:rPr>
  </w:style>
  <w:style w:type="paragraph" w:customStyle="1" w:styleId="xl70">
    <w:name w:val="xl70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 w:cs="Times New Roman"/>
      <w:sz w:val="14"/>
      <w:szCs w:val="14"/>
      <w:lang w:eastAsia="it-IT"/>
    </w:rPr>
  </w:style>
  <w:style w:type="paragraph" w:customStyle="1" w:styleId="xl71">
    <w:name w:val="xl71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72">
    <w:name w:val="xl72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4"/>
      <w:szCs w:val="14"/>
      <w:lang w:eastAsia="it-IT"/>
    </w:rPr>
  </w:style>
  <w:style w:type="paragraph" w:customStyle="1" w:styleId="xl73">
    <w:name w:val="xl73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0"/>
      <w:szCs w:val="10"/>
      <w:lang w:eastAsia="it-IT"/>
    </w:rPr>
  </w:style>
  <w:style w:type="paragraph" w:customStyle="1" w:styleId="xl74">
    <w:name w:val="xl74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4"/>
      <w:szCs w:val="14"/>
      <w:lang w:eastAsia="it-IT"/>
    </w:rPr>
  </w:style>
  <w:style w:type="paragraph" w:customStyle="1" w:styleId="xl75">
    <w:name w:val="xl75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it-IT"/>
    </w:rPr>
  </w:style>
  <w:style w:type="paragraph" w:customStyle="1" w:styleId="xl76">
    <w:name w:val="xl76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4"/>
      <w:szCs w:val="14"/>
      <w:lang w:eastAsia="it-IT"/>
    </w:rPr>
  </w:style>
  <w:style w:type="paragraph" w:customStyle="1" w:styleId="xl78">
    <w:name w:val="xl78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0"/>
      <w:szCs w:val="10"/>
      <w:lang w:eastAsia="it-IT"/>
    </w:rPr>
  </w:style>
  <w:style w:type="paragraph" w:customStyle="1" w:styleId="xl79">
    <w:name w:val="xl79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C33FC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it-IT"/>
    </w:rPr>
  </w:style>
  <w:style w:type="paragraph" w:customStyle="1" w:styleId="xl84">
    <w:name w:val="xl84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2"/>
      <w:szCs w:val="12"/>
      <w:lang w:eastAsia="it-IT"/>
    </w:rPr>
  </w:style>
  <w:style w:type="paragraph" w:customStyle="1" w:styleId="xl85">
    <w:name w:val="xl85"/>
    <w:basedOn w:val="Normale"/>
    <w:rsid w:val="00C33F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C33F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haroni"/>
      <w:b/>
      <w:bCs/>
      <w:sz w:val="24"/>
      <w:szCs w:val="24"/>
      <w:lang w:eastAsia="it-IT"/>
    </w:rPr>
  </w:style>
  <w:style w:type="paragraph" w:customStyle="1" w:styleId="xl87">
    <w:name w:val="xl87"/>
    <w:basedOn w:val="Normale"/>
    <w:rsid w:val="00C33FC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haroni"/>
      <w:b/>
      <w:bCs/>
      <w:sz w:val="24"/>
      <w:szCs w:val="24"/>
      <w:lang w:eastAsia="it-IT"/>
    </w:rPr>
  </w:style>
  <w:style w:type="paragraph" w:customStyle="1" w:styleId="xl88">
    <w:name w:val="xl88"/>
    <w:basedOn w:val="Normale"/>
    <w:rsid w:val="00C33F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89">
    <w:name w:val="xl89"/>
    <w:basedOn w:val="Normale"/>
    <w:rsid w:val="00C33F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90">
    <w:name w:val="xl90"/>
    <w:basedOn w:val="Normale"/>
    <w:rsid w:val="00C33F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91">
    <w:name w:val="xl91"/>
    <w:basedOn w:val="Normale"/>
    <w:rsid w:val="00C33F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92">
    <w:name w:val="xl92"/>
    <w:basedOn w:val="Normale"/>
    <w:rsid w:val="00C33FCD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  <w:style w:type="paragraph" w:customStyle="1" w:styleId="xl93">
    <w:name w:val="xl93"/>
    <w:basedOn w:val="Normale"/>
    <w:rsid w:val="00C33FC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Aharoni"/>
      <w:b/>
      <w:bCs/>
      <w:sz w:val="14"/>
      <w:szCs w:val="1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WW.PATTOSTABILITA@TESORO.IT" TargetMode="External"/><Relationship Id="rId4" Type="http://schemas.openxmlformats.org/officeDocument/2006/relationships/hyperlink" Target="mailto:WWW.PATTOSTABILITA@TES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</dc:creator>
  <cp:keywords/>
  <dc:description/>
  <cp:lastModifiedBy>Messi</cp:lastModifiedBy>
  <cp:revision>3</cp:revision>
  <dcterms:created xsi:type="dcterms:W3CDTF">2016-12-01T10:37:00Z</dcterms:created>
  <dcterms:modified xsi:type="dcterms:W3CDTF">2016-12-01T10:39:00Z</dcterms:modified>
</cp:coreProperties>
</file>