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2CC" w:rsidRDefault="00C62582" w:rsidP="00C62582">
      <w:pPr>
        <w:ind w:left="0"/>
      </w:pPr>
      <w:bookmarkStart w:id="0" w:name="_GoBack"/>
      <w:bookmarkEnd w:id="0"/>
      <w:r>
        <w:t>FONDO RISORSE DECENTRATE DEL COMPARTO DEL COMUNE DI TREPUZZI - ANNO 2024</w:t>
      </w:r>
    </w:p>
    <w:tbl>
      <w:tblPr>
        <w:tblStyle w:val="TableGrid"/>
        <w:tblW w:w="10990" w:type="dxa"/>
        <w:tblInd w:w="-1068" w:type="dxa"/>
        <w:tblCellMar>
          <w:top w:w="45" w:type="dxa"/>
          <w:left w:w="31" w:type="dxa"/>
        </w:tblCellMar>
        <w:tblLook w:val="04A0"/>
      </w:tblPr>
      <w:tblGrid>
        <w:gridCol w:w="9461"/>
        <w:gridCol w:w="1529"/>
      </w:tblGrid>
      <w:tr w:rsidR="00E512CC">
        <w:trPr>
          <w:trHeight w:val="247"/>
        </w:trPr>
        <w:tc>
          <w:tcPr>
            <w:tcW w:w="9461" w:type="dxa"/>
            <w:tcBorders>
              <w:top w:val="single" w:sz="8" w:space="0" w:color="000000"/>
              <w:left w:val="single" w:sz="8" w:space="0" w:color="000000"/>
              <w:bottom w:val="single" w:sz="8" w:space="0" w:color="000000"/>
              <w:right w:val="single" w:sz="8" w:space="0" w:color="000000"/>
            </w:tcBorders>
            <w:shd w:val="clear" w:color="auto" w:fill="00ABEA"/>
          </w:tcPr>
          <w:p w:rsidR="00E512CC" w:rsidRDefault="00C62582">
            <w:pPr>
              <w:spacing w:after="0"/>
              <w:ind w:left="2"/>
            </w:pPr>
            <w:r>
              <w:t>FONTI DI FINANZIAMENTO STABILI</w:t>
            </w:r>
          </w:p>
        </w:tc>
        <w:tc>
          <w:tcPr>
            <w:tcW w:w="1529" w:type="dxa"/>
            <w:tcBorders>
              <w:top w:val="single" w:sz="8" w:space="0" w:color="000000"/>
              <w:left w:val="single" w:sz="8" w:space="0" w:color="000000"/>
              <w:bottom w:val="single" w:sz="8" w:space="0" w:color="000000"/>
              <w:right w:val="single" w:sz="8" w:space="0" w:color="000000"/>
            </w:tcBorders>
            <w:shd w:val="clear" w:color="auto" w:fill="00ABEA"/>
          </w:tcPr>
          <w:p w:rsidR="00E512CC" w:rsidRDefault="00C62582">
            <w:pPr>
              <w:spacing w:after="0"/>
              <w:ind w:left="5"/>
            </w:pPr>
            <w:r>
              <w:t xml:space="preserve"> IMPORTI </w:t>
            </w:r>
          </w:p>
        </w:tc>
      </w:tr>
      <w:tr w:rsidR="00E512CC">
        <w:trPr>
          <w:trHeight w:val="494"/>
        </w:trPr>
        <w:tc>
          <w:tcPr>
            <w:tcW w:w="9461" w:type="dxa"/>
            <w:tcBorders>
              <w:top w:val="single" w:sz="8" w:space="0" w:color="000000"/>
              <w:left w:val="single" w:sz="8" w:space="0" w:color="000000"/>
              <w:bottom w:val="single" w:sz="8" w:space="0" w:color="000000"/>
              <w:right w:val="single" w:sz="8" w:space="0" w:color="000000"/>
            </w:tcBorders>
            <w:shd w:val="clear" w:color="auto" w:fill="FFF3CB"/>
            <w:vAlign w:val="center"/>
          </w:tcPr>
          <w:p w:rsidR="00E512CC" w:rsidRDefault="00C62582">
            <w:pPr>
              <w:spacing w:after="0"/>
              <w:ind w:left="2"/>
            </w:pPr>
            <w:r>
              <w:t>Art. 67 del CCNL del 21.05.2018 c. 1 Unico importo del fondo del salario accessorio consolidato all'anno 2017.</w:t>
            </w:r>
          </w:p>
        </w:tc>
        <w:tc>
          <w:tcPr>
            <w:tcW w:w="1529" w:type="dxa"/>
            <w:tcBorders>
              <w:top w:val="single" w:sz="8" w:space="0" w:color="000000"/>
              <w:left w:val="single" w:sz="8" w:space="0" w:color="000000"/>
              <w:bottom w:val="single" w:sz="8" w:space="0" w:color="000000"/>
              <w:right w:val="single" w:sz="8" w:space="0" w:color="000000"/>
            </w:tcBorders>
            <w:shd w:val="clear" w:color="auto" w:fill="FFF3CB"/>
            <w:vAlign w:val="center"/>
          </w:tcPr>
          <w:p w:rsidR="00E512CC" w:rsidRDefault="00C62582">
            <w:pPr>
              <w:spacing w:after="0"/>
              <w:ind w:left="5"/>
            </w:pPr>
            <w:r>
              <w:t xml:space="preserve"> €       240.853,00 </w:t>
            </w:r>
          </w:p>
        </w:tc>
      </w:tr>
      <w:tr w:rsidR="00E512CC">
        <w:trPr>
          <w:trHeight w:val="742"/>
        </w:trPr>
        <w:tc>
          <w:tcPr>
            <w:tcW w:w="9461" w:type="dxa"/>
            <w:tcBorders>
              <w:top w:val="single" w:sz="8" w:space="0" w:color="000000"/>
              <w:left w:val="single" w:sz="8" w:space="0" w:color="000000"/>
              <w:bottom w:val="single" w:sz="8" w:space="0" w:color="000000"/>
              <w:right w:val="single" w:sz="8" w:space="0" w:color="000000"/>
            </w:tcBorders>
            <w:shd w:val="clear" w:color="auto" w:fill="FFF3CB"/>
          </w:tcPr>
          <w:p w:rsidR="00E512CC" w:rsidRDefault="00C62582">
            <w:pPr>
              <w:spacing w:after="0"/>
              <w:ind w:left="2"/>
            </w:pPr>
            <w:r>
              <w:t>Art. 67 del CCNL del 21.05.2018 c. 1 Alte professionalità 0,20% monte salari 2001, esclusa la quota relativa all dirigenza, nel caso in cui tali risorse non siano state utilizzate (da inserire solo se l'importo annuale non è stato già ricompreso nell'unico importo storicizzato).</w:t>
            </w:r>
          </w:p>
        </w:tc>
        <w:tc>
          <w:tcPr>
            <w:tcW w:w="1529" w:type="dxa"/>
            <w:tcBorders>
              <w:top w:val="single" w:sz="8" w:space="0" w:color="000000"/>
              <w:left w:val="single" w:sz="8" w:space="0" w:color="000000"/>
              <w:bottom w:val="single" w:sz="8" w:space="0" w:color="000000"/>
              <w:right w:val="single" w:sz="8" w:space="0" w:color="000000"/>
            </w:tcBorders>
            <w:shd w:val="clear" w:color="auto" w:fill="FFF3CB"/>
            <w:vAlign w:val="center"/>
          </w:tcPr>
          <w:p w:rsidR="00E512CC" w:rsidRDefault="00C62582">
            <w:pPr>
              <w:spacing w:after="0"/>
              <w:ind w:left="5"/>
            </w:pPr>
            <w:r>
              <w:t xml:space="preserve"> €                        -   </w:t>
            </w:r>
          </w:p>
        </w:tc>
      </w:tr>
      <w:tr w:rsidR="00E512CC">
        <w:trPr>
          <w:trHeight w:val="494"/>
        </w:trPr>
        <w:tc>
          <w:tcPr>
            <w:tcW w:w="9461" w:type="dxa"/>
            <w:tcBorders>
              <w:top w:val="single" w:sz="8" w:space="0" w:color="000000"/>
              <w:left w:val="single" w:sz="8" w:space="0" w:color="000000"/>
              <w:bottom w:val="single" w:sz="8" w:space="0" w:color="000000"/>
              <w:right w:val="single" w:sz="8" w:space="0" w:color="000000"/>
            </w:tcBorders>
            <w:shd w:val="clear" w:color="auto" w:fill="FFF3CB"/>
          </w:tcPr>
          <w:p w:rsidR="00E512CC" w:rsidRDefault="00C62582">
            <w:pPr>
              <w:spacing w:after="0"/>
              <w:ind w:left="2"/>
            </w:pPr>
            <w:r>
              <w:t>Art. 67 del CCNL del 21.05.2018 c. 2 lett. a) Incremento di 83,20 per unità di personale in servizio al 31.12.2015 a valere dall'anno 2019 (risorse non soggette al limite).</w:t>
            </w:r>
          </w:p>
        </w:tc>
        <w:tc>
          <w:tcPr>
            <w:tcW w:w="1529" w:type="dxa"/>
            <w:tcBorders>
              <w:top w:val="single" w:sz="8" w:space="0" w:color="000000"/>
              <w:left w:val="single" w:sz="8" w:space="0" w:color="000000"/>
              <w:bottom w:val="single" w:sz="8" w:space="0" w:color="000000"/>
              <w:right w:val="single" w:sz="8" w:space="0" w:color="000000"/>
            </w:tcBorders>
            <w:shd w:val="clear" w:color="auto" w:fill="FFF3CB"/>
            <w:vAlign w:val="center"/>
          </w:tcPr>
          <w:p w:rsidR="00E512CC" w:rsidRDefault="00C62582">
            <w:pPr>
              <w:spacing w:after="0"/>
              <w:ind w:left="5"/>
              <w:jc w:val="both"/>
            </w:pPr>
            <w:r>
              <w:t xml:space="preserve"> €            3.411,20 </w:t>
            </w:r>
          </w:p>
        </w:tc>
      </w:tr>
      <w:tr w:rsidR="00E512CC">
        <w:trPr>
          <w:trHeight w:val="494"/>
        </w:trPr>
        <w:tc>
          <w:tcPr>
            <w:tcW w:w="9461" w:type="dxa"/>
            <w:tcBorders>
              <w:top w:val="single" w:sz="8" w:space="0" w:color="000000"/>
              <w:left w:val="single" w:sz="8" w:space="0" w:color="000000"/>
              <w:bottom w:val="single" w:sz="8" w:space="0" w:color="000000"/>
              <w:right w:val="single" w:sz="8" w:space="0" w:color="000000"/>
            </w:tcBorders>
            <w:shd w:val="clear" w:color="auto" w:fill="FFF3CB"/>
          </w:tcPr>
          <w:p w:rsidR="00E512CC" w:rsidRDefault="00C62582">
            <w:pPr>
              <w:spacing w:after="0"/>
              <w:ind w:left="2"/>
            </w:pPr>
            <w:r>
              <w:t>Art. 67 del CCNL del 21.05.2018 c. 2 lett. b) Incrementi stipendiali differenziali previsti dall'art. 64 per il personale in servizio (risorse non soggette al limite).</w:t>
            </w:r>
          </w:p>
        </w:tc>
        <w:tc>
          <w:tcPr>
            <w:tcW w:w="1529" w:type="dxa"/>
            <w:tcBorders>
              <w:top w:val="single" w:sz="8" w:space="0" w:color="000000"/>
              <w:left w:val="single" w:sz="8" w:space="0" w:color="000000"/>
              <w:bottom w:val="single" w:sz="8" w:space="0" w:color="000000"/>
              <w:right w:val="single" w:sz="8" w:space="0" w:color="000000"/>
            </w:tcBorders>
            <w:shd w:val="clear" w:color="auto" w:fill="FFF3CB"/>
            <w:vAlign w:val="center"/>
          </w:tcPr>
          <w:p w:rsidR="00E512CC" w:rsidRDefault="00C62582">
            <w:pPr>
              <w:spacing w:after="0"/>
              <w:ind w:left="5"/>
              <w:jc w:val="both"/>
            </w:pPr>
            <w:r>
              <w:t xml:space="preserve"> €            2.261,00 </w:t>
            </w:r>
          </w:p>
        </w:tc>
      </w:tr>
      <w:tr w:rsidR="00E512CC">
        <w:trPr>
          <w:trHeight w:val="989"/>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2"/>
            </w:pPr>
            <w:r>
              <w:t>Art. 79, co. 1, lett. a), CCNL 16.11.2022 - art. 67 del CCNL del 21.05.2018 c. 2 lett. c) Integrazione risorse dell’importo annuo della retribuzione individuale di anzianità e degli assegni ad personam in godimento da parte del personale comunque cessato dal servizio l'anno precedente (da inserire solo le nuove risorse che si liberano a partire dalle cessazioni verificatesi nell'anno precedente).</w:t>
            </w:r>
          </w:p>
        </w:tc>
        <w:tc>
          <w:tcPr>
            <w:tcW w:w="1529" w:type="dxa"/>
            <w:tcBorders>
              <w:top w:val="single" w:sz="8" w:space="0" w:color="000000"/>
              <w:left w:val="single" w:sz="8" w:space="0" w:color="000000"/>
              <w:bottom w:val="single" w:sz="8" w:space="0" w:color="000000"/>
              <w:right w:val="single" w:sz="8" w:space="0" w:color="000000"/>
            </w:tcBorders>
            <w:vAlign w:val="center"/>
          </w:tcPr>
          <w:p w:rsidR="00E512CC" w:rsidRDefault="00C62582">
            <w:pPr>
              <w:spacing w:after="0"/>
              <w:ind w:left="5"/>
              <w:jc w:val="both"/>
            </w:pPr>
            <w:r>
              <w:t xml:space="preserve"> €            7.691,00 </w:t>
            </w:r>
          </w:p>
        </w:tc>
      </w:tr>
      <w:tr w:rsidR="00E512CC">
        <w:trPr>
          <w:trHeight w:val="494"/>
        </w:trPr>
        <w:tc>
          <w:tcPr>
            <w:tcW w:w="9461" w:type="dxa"/>
            <w:tcBorders>
              <w:top w:val="single" w:sz="8" w:space="0" w:color="000000"/>
              <w:left w:val="single" w:sz="8" w:space="0" w:color="000000"/>
              <w:bottom w:val="single" w:sz="8" w:space="0" w:color="000000"/>
              <w:right w:val="single" w:sz="8" w:space="0" w:color="000000"/>
            </w:tcBorders>
            <w:shd w:val="clear" w:color="auto" w:fill="FFF3CB"/>
          </w:tcPr>
          <w:p w:rsidR="00E512CC" w:rsidRDefault="00C62582">
            <w:pPr>
              <w:spacing w:after="0"/>
              <w:ind w:left="2"/>
            </w:pPr>
            <w:r>
              <w:t>Art. 67 del CCNL del 21.05.2018 c. 2 lett. d) Eventuali risorse riassorbite ai sensi dell’art. 2, comma 3 del decreto legislativo 30 marzo 2001, n. 165/2001 (trattamenti economici più favorevoli in godimento).</w:t>
            </w:r>
          </w:p>
        </w:tc>
        <w:tc>
          <w:tcPr>
            <w:tcW w:w="1529" w:type="dxa"/>
            <w:tcBorders>
              <w:top w:val="single" w:sz="8" w:space="0" w:color="000000"/>
              <w:left w:val="single" w:sz="8" w:space="0" w:color="000000"/>
              <w:bottom w:val="single" w:sz="8" w:space="0" w:color="000000"/>
              <w:right w:val="single" w:sz="8" w:space="0" w:color="000000"/>
            </w:tcBorders>
            <w:shd w:val="clear" w:color="auto" w:fill="FFF3CB"/>
            <w:vAlign w:val="center"/>
          </w:tcPr>
          <w:p w:rsidR="00E512CC" w:rsidRDefault="00C62582">
            <w:pPr>
              <w:spacing w:after="0"/>
              <w:ind w:left="5"/>
            </w:pPr>
            <w:r>
              <w:t xml:space="preserve"> €                        -   </w:t>
            </w:r>
          </w:p>
        </w:tc>
      </w:tr>
      <w:tr w:rsidR="00E512CC">
        <w:trPr>
          <w:trHeight w:val="742"/>
        </w:trPr>
        <w:tc>
          <w:tcPr>
            <w:tcW w:w="9461" w:type="dxa"/>
            <w:tcBorders>
              <w:top w:val="single" w:sz="8" w:space="0" w:color="000000"/>
              <w:left w:val="single" w:sz="8" w:space="0" w:color="000000"/>
              <w:bottom w:val="single" w:sz="8" w:space="0" w:color="000000"/>
              <w:right w:val="single" w:sz="8" w:space="0" w:color="000000"/>
            </w:tcBorders>
            <w:shd w:val="clear" w:color="auto" w:fill="FFF3CB"/>
          </w:tcPr>
          <w:p w:rsidR="00E512CC" w:rsidRDefault="00C62582">
            <w:pPr>
              <w:spacing w:after="0"/>
              <w:ind w:left="2"/>
            </w:pPr>
            <w:r>
              <w:t>Art. 15 del CCNL 1/4/1999 c. 1 lett. l) - art. 67 del CCNL del 21.05.2018 c. 2 lett. e) Somme connesse al trattamento economico accessorio del personale trasferito agli enti del comparto a seguito processi di decentramento e delega di funzioni.</w:t>
            </w:r>
          </w:p>
        </w:tc>
        <w:tc>
          <w:tcPr>
            <w:tcW w:w="1529" w:type="dxa"/>
            <w:tcBorders>
              <w:top w:val="single" w:sz="8" w:space="0" w:color="000000"/>
              <w:left w:val="single" w:sz="8" w:space="0" w:color="000000"/>
              <w:bottom w:val="single" w:sz="8" w:space="0" w:color="000000"/>
              <w:right w:val="single" w:sz="8" w:space="0" w:color="000000"/>
            </w:tcBorders>
            <w:shd w:val="clear" w:color="auto" w:fill="FFF3CB"/>
            <w:vAlign w:val="center"/>
          </w:tcPr>
          <w:p w:rsidR="00E512CC" w:rsidRDefault="00C62582">
            <w:pPr>
              <w:spacing w:after="0"/>
              <w:ind w:left="5"/>
            </w:pPr>
            <w:r>
              <w:t xml:space="preserve"> €                        -   </w:t>
            </w:r>
          </w:p>
        </w:tc>
      </w:tr>
      <w:tr w:rsidR="00E512CC">
        <w:trPr>
          <w:trHeight w:val="989"/>
        </w:trPr>
        <w:tc>
          <w:tcPr>
            <w:tcW w:w="9461" w:type="dxa"/>
            <w:tcBorders>
              <w:top w:val="single" w:sz="8" w:space="0" w:color="000000"/>
              <w:left w:val="single" w:sz="8" w:space="0" w:color="000000"/>
              <w:bottom w:val="single" w:sz="8" w:space="0" w:color="000000"/>
              <w:right w:val="single" w:sz="8" w:space="0" w:color="000000"/>
            </w:tcBorders>
            <w:shd w:val="clear" w:color="auto" w:fill="FFF3CB"/>
            <w:vAlign w:val="center"/>
          </w:tcPr>
          <w:p w:rsidR="00E512CC" w:rsidRDefault="00C62582">
            <w:pPr>
              <w:spacing w:after="0"/>
              <w:ind w:left="2" w:right="28"/>
            </w:pPr>
            <w:r>
              <w:t>Art. 15 del CCNL 1/4/1999 c. 1 lett. i) - art. 67 del CCNL del 21.05.2018 c. 2 lett. f) Per le Regioni, quota minori oneri dalla riduzione stabile di posti in organico qualifica dirigenziale, fino a 0,2% monte salari della stessa dirigenza, da destinare al fondo di cui all’art. 17, c. 2, lett. c); sono fatti salvi gli accordi di miglior favore.</w:t>
            </w:r>
          </w:p>
        </w:tc>
        <w:tc>
          <w:tcPr>
            <w:tcW w:w="1529" w:type="dxa"/>
            <w:tcBorders>
              <w:top w:val="single" w:sz="8" w:space="0" w:color="000000"/>
              <w:left w:val="single" w:sz="8" w:space="0" w:color="000000"/>
              <w:bottom w:val="single" w:sz="8" w:space="0" w:color="000000"/>
              <w:right w:val="single" w:sz="8" w:space="0" w:color="000000"/>
            </w:tcBorders>
            <w:shd w:val="clear" w:color="auto" w:fill="FFF3CB"/>
            <w:vAlign w:val="center"/>
          </w:tcPr>
          <w:p w:rsidR="00E512CC" w:rsidRDefault="00C62582">
            <w:pPr>
              <w:spacing w:after="0"/>
              <w:ind w:left="5"/>
            </w:pPr>
            <w:r>
              <w:t xml:space="preserve"> €                        -   </w:t>
            </w:r>
          </w:p>
        </w:tc>
      </w:tr>
      <w:tr w:rsidR="00E512CC">
        <w:trPr>
          <w:trHeight w:val="494"/>
        </w:trPr>
        <w:tc>
          <w:tcPr>
            <w:tcW w:w="9461" w:type="dxa"/>
            <w:tcBorders>
              <w:top w:val="single" w:sz="8" w:space="0" w:color="000000"/>
              <w:left w:val="single" w:sz="8" w:space="0" w:color="000000"/>
              <w:bottom w:val="single" w:sz="8" w:space="0" w:color="000000"/>
              <w:right w:val="single" w:sz="8" w:space="0" w:color="000000"/>
            </w:tcBorders>
            <w:shd w:val="clear" w:color="auto" w:fill="FFF3CB"/>
            <w:vAlign w:val="center"/>
          </w:tcPr>
          <w:p w:rsidR="00E512CC" w:rsidRDefault="00C62582">
            <w:pPr>
              <w:spacing w:after="0"/>
              <w:ind w:left="2"/>
            </w:pPr>
            <w:r>
              <w:t>Art. 14 del CCNL 1/4/1999 c. 3 - art. 67 del CCNL del 21.05.2018 c. 2 lett. g) Riduzione stabile dello straordinario.</w:t>
            </w:r>
          </w:p>
        </w:tc>
        <w:tc>
          <w:tcPr>
            <w:tcW w:w="1529" w:type="dxa"/>
            <w:tcBorders>
              <w:top w:val="single" w:sz="8" w:space="0" w:color="000000"/>
              <w:left w:val="single" w:sz="8" w:space="0" w:color="000000"/>
              <w:bottom w:val="single" w:sz="8" w:space="0" w:color="000000"/>
              <w:right w:val="single" w:sz="8" w:space="0" w:color="000000"/>
            </w:tcBorders>
            <w:shd w:val="clear" w:color="auto" w:fill="FFF3CB"/>
            <w:vAlign w:val="center"/>
          </w:tcPr>
          <w:p w:rsidR="00E512CC" w:rsidRDefault="00C62582">
            <w:pPr>
              <w:spacing w:after="0"/>
              <w:ind w:left="4"/>
            </w:pPr>
            <w:r>
              <w:t xml:space="preserve"> €                        -   </w:t>
            </w:r>
          </w:p>
        </w:tc>
      </w:tr>
      <w:tr w:rsidR="00E512CC">
        <w:trPr>
          <w:trHeight w:val="494"/>
        </w:trPr>
        <w:tc>
          <w:tcPr>
            <w:tcW w:w="9461" w:type="dxa"/>
            <w:tcBorders>
              <w:top w:val="single" w:sz="8" w:space="0" w:color="000000"/>
              <w:left w:val="single" w:sz="8" w:space="0" w:color="000000"/>
              <w:bottom w:val="single" w:sz="8" w:space="0" w:color="000000"/>
              <w:right w:val="single" w:sz="8" w:space="0" w:color="000000"/>
            </w:tcBorders>
            <w:shd w:val="clear" w:color="auto" w:fill="FFF3CB"/>
          </w:tcPr>
          <w:p w:rsidR="00E512CC" w:rsidRDefault="00C62582">
            <w:pPr>
              <w:spacing w:after="0"/>
              <w:ind w:left="2"/>
            </w:pPr>
            <w:r>
              <w:t>Art. 15 del CCNL 1/4/199 c. 5 - art. 67 del CCNL del 21.05.2018 c. 2 lett. h) Incrementi per gli effetti derivanti dall’incremento delle dotazioni organiche.</w:t>
            </w:r>
          </w:p>
        </w:tc>
        <w:tc>
          <w:tcPr>
            <w:tcW w:w="1529" w:type="dxa"/>
            <w:tcBorders>
              <w:top w:val="single" w:sz="8" w:space="0" w:color="000000"/>
              <w:left w:val="single" w:sz="8" w:space="0" w:color="000000"/>
              <w:bottom w:val="single" w:sz="8" w:space="0" w:color="000000"/>
              <w:right w:val="single" w:sz="8" w:space="0" w:color="000000"/>
            </w:tcBorders>
            <w:shd w:val="clear" w:color="auto" w:fill="FFF3CB"/>
            <w:vAlign w:val="center"/>
          </w:tcPr>
          <w:p w:rsidR="00E512CC" w:rsidRDefault="00C62582">
            <w:pPr>
              <w:spacing w:after="0"/>
              <w:ind w:left="5"/>
            </w:pPr>
            <w:r>
              <w:t xml:space="preserve"> €                        -   </w:t>
            </w:r>
          </w:p>
        </w:tc>
      </w:tr>
      <w:tr w:rsidR="00E512CC">
        <w:trPr>
          <w:trHeight w:val="1236"/>
        </w:trPr>
        <w:tc>
          <w:tcPr>
            <w:tcW w:w="9461" w:type="dxa"/>
            <w:tcBorders>
              <w:top w:val="single" w:sz="8" w:space="0" w:color="000000"/>
              <w:left w:val="single" w:sz="8" w:space="0" w:color="000000"/>
              <w:bottom w:val="single" w:sz="8" w:space="0" w:color="000000"/>
              <w:right w:val="single" w:sz="8" w:space="0" w:color="000000"/>
            </w:tcBorders>
            <w:shd w:val="clear" w:color="auto" w:fill="FFF3CB"/>
            <w:vAlign w:val="center"/>
          </w:tcPr>
          <w:p w:rsidR="00E512CC" w:rsidRDefault="00C62582">
            <w:pPr>
              <w:spacing w:after="12"/>
              <w:ind w:left="2"/>
            </w:pPr>
            <w:r>
              <w:t xml:space="preserve">Eventuale taglio del fondo storicizzato - Art. 9 comma 2 bis D.L. n.78/2010 convertito in L.122/2010 Per il triennio </w:t>
            </w:r>
          </w:p>
          <w:p w:rsidR="00E512CC" w:rsidRDefault="00C62582">
            <w:pPr>
              <w:spacing w:after="0"/>
              <w:ind w:left="2"/>
            </w:pPr>
            <w:r>
              <w:t>2011/2013 il tetto dei fondi per le risorse decentrate dei dipendenti e dei dirigenti non può superare quello del 2010 ed è ridotto automaticamente in proporzione alla riduzione del personale in servizio e s.m.i. da sottrarre (da inserire solo se l'importo annuale non è stato già ricompreso nell'unico importo storicizzato).</w:t>
            </w:r>
          </w:p>
        </w:tc>
        <w:tc>
          <w:tcPr>
            <w:tcW w:w="1529" w:type="dxa"/>
            <w:tcBorders>
              <w:top w:val="single" w:sz="8" w:space="0" w:color="000000"/>
              <w:left w:val="single" w:sz="8" w:space="0" w:color="000000"/>
              <w:bottom w:val="single" w:sz="8" w:space="0" w:color="000000"/>
              <w:right w:val="single" w:sz="8" w:space="0" w:color="000000"/>
            </w:tcBorders>
            <w:shd w:val="clear" w:color="auto" w:fill="FFF3CB"/>
            <w:vAlign w:val="center"/>
          </w:tcPr>
          <w:p w:rsidR="00E512CC" w:rsidRDefault="00C62582">
            <w:pPr>
              <w:spacing w:after="0"/>
              <w:ind w:left="5"/>
              <w:jc w:val="both"/>
            </w:pPr>
            <w:r>
              <w:t xml:space="preserve"> €          42.152,00 </w:t>
            </w:r>
          </w:p>
        </w:tc>
      </w:tr>
      <w:tr w:rsidR="00E512CC">
        <w:trPr>
          <w:trHeight w:val="494"/>
        </w:trPr>
        <w:tc>
          <w:tcPr>
            <w:tcW w:w="9461" w:type="dxa"/>
            <w:tcBorders>
              <w:top w:val="single" w:sz="8" w:space="0" w:color="000000"/>
              <w:left w:val="single" w:sz="8" w:space="0" w:color="000000"/>
              <w:bottom w:val="single" w:sz="8" w:space="0" w:color="000000"/>
              <w:right w:val="single" w:sz="8" w:space="0" w:color="000000"/>
            </w:tcBorders>
            <w:shd w:val="clear" w:color="auto" w:fill="FFF3CB"/>
          </w:tcPr>
          <w:p w:rsidR="00E512CC" w:rsidRDefault="00C62582">
            <w:pPr>
              <w:spacing w:after="0"/>
              <w:ind w:left="2"/>
            </w:pPr>
            <w:r>
              <w:t>Eventuali riduzioni del fondo per personale ATA, posizioni organizzative, processi di esternalizzazione o trasferimento di personale</w:t>
            </w:r>
          </w:p>
        </w:tc>
        <w:tc>
          <w:tcPr>
            <w:tcW w:w="1529" w:type="dxa"/>
            <w:tcBorders>
              <w:top w:val="single" w:sz="8" w:space="0" w:color="000000"/>
              <w:left w:val="single" w:sz="8" w:space="0" w:color="000000"/>
              <w:bottom w:val="single" w:sz="8" w:space="0" w:color="000000"/>
              <w:right w:val="single" w:sz="8" w:space="0" w:color="000000"/>
            </w:tcBorders>
            <w:shd w:val="clear" w:color="auto" w:fill="FFF3CB"/>
            <w:vAlign w:val="center"/>
          </w:tcPr>
          <w:p w:rsidR="00E512CC" w:rsidRDefault="00C62582">
            <w:pPr>
              <w:spacing w:after="0"/>
              <w:ind w:left="5"/>
            </w:pPr>
            <w:r>
              <w:t xml:space="preserve"> €                        -   </w:t>
            </w:r>
          </w:p>
        </w:tc>
      </w:tr>
      <w:tr w:rsidR="00E512CC">
        <w:trPr>
          <w:trHeight w:val="312"/>
        </w:trPr>
        <w:tc>
          <w:tcPr>
            <w:tcW w:w="9461" w:type="dxa"/>
            <w:tcBorders>
              <w:top w:val="single" w:sz="8" w:space="0" w:color="000000"/>
              <w:left w:val="single" w:sz="8" w:space="0" w:color="000000"/>
              <w:bottom w:val="single" w:sz="8" w:space="0" w:color="000000"/>
              <w:right w:val="single" w:sz="8" w:space="0" w:color="000000"/>
            </w:tcBorders>
            <w:shd w:val="clear" w:color="auto" w:fill="FFF3CB"/>
          </w:tcPr>
          <w:p w:rsidR="00E512CC" w:rsidRDefault="00C62582">
            <w:pPr>
              <w:spacing w:after="0"/>
              <w:ind w:left="2"/>
            </w:pPr>
            <w:r>
              <w:t>Art. 67 c. 1 CCNL 21.05.2018 decurtazione fondo posizioni organizzative e risultato per gli enti con la dirigenza.</w:t>
            </w:r>
          </w:p>
        </w:tc>
        <w:tc>
          <w:tcPr>
            <w:tcW w:w="1529" w:type="dxa"/>
            <w:tcBorders>
              <w:top w:val="single" w:sz="8" w:space="0" w:color="000000"/>
              <w:left w:val="single" w:sz="8" w:space="0" w:color="000000"/>
              <w:bottom w:val="single" w:sz="8" w:space="0" w:color="000000"/>
              <w:right w:val="single" w:sz="8" w:space="0" w:color="000000"/>
            </w:tcBorders>
            <w:shd w:val="clear" w:color="auto" w:fill="FFF3CB"/>
          </w:tcPr>
          <w:p w:rsidR="00E512CC" w:rsidRDefault="00E512CC">
            <w:pPr>
              <w:spacing w:after="160"/>
              <w:ind w:left="0"/>
            </w:pPr>
          </w:p>
        </w:tc>
      </w:tr>
      <w:tr w:rsidR="00E512CC">
        <w:trPr>
          <w:trHeight w:val="312"/>
        </w:trPr>
        <w:tc>
          <w:tcPr>
            <w:tcW w:w="9461" w:type="dxa"/>
            <w:tcBorders>
              <w:top w:val="single" w:sz="8" w:space="0" w:color="000000"/>
              <w:left w:val="single" w:sz="8" w:space="0" w:color="000000"/>
              <w:bottom w:val="single" w:sz="8" w:space="0" w:color="000000"/>
              <w:right w:val="single" w:sz="8" w:space="0" w:color="000000"/>
            </w:tcBorders>
            <w:shd w:val="clear" w:color="auto" w:fill="FFF3CB"/>
          </w:tcPr>
          <w:p w:rsidR="00E512CC" w:rsidRDefault="00C62582">
            <w:pPr>
              <w:spacing w:after="0"/>
              <w:ind w:left="2"/>
            </w:pPr>
            <w:r>
              <w:t>Art. 67 c. 1 CCNL 21.05.2018 decurtazione fondo alte professionalità e risultato per gli enti con la dirigenza.</w:t>
            </w:r>
          </w:p>
        </w:tc>
        <w:tc>
          <w:tcPr>
            <w:tcW w:w="1529" w:type="dxa"/>
            <w:tcBorders>
              <w:top w:val="single" w:sz="8" w:space="0" w:color="000000"/>
              <w:left w:val="single" w:sz="8" w:space="0" w:color="000000"/>
              <w:bottom w:val="single" w:sz="8" w:space="0" w:color="000000"/>
              <w:right w:val="single" w:sz="8" w:space="0" w:color="000000"/>
            </w:tcBorders>
            <w:shd w:val="clear" w:color="auto" w:fill="FFF3CB"/>
          </w:tcPr>
          <w:p w:rsidR="00E512CC" w:rsidRDefault="00E512CC">
            <w:pPr>
              <w:spacing w:after="160"/>
              <w:ind w:left="0"/>
            </w:pPr>
          </w:p>
        </w:tc>
      </w:tr>
      <w:tr w:rsidR="00E512CC">
        <w:trPr>
          <w:trHeight w:val="466"/>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rPr>
                <w:sz w:val="18"/>
              </w:rPr>
              <w:t>Art. 79, c. 1, lett. b), CCNL 16.11.2022: € 84,50 per n. unità in servizio al 31.12.2018 con decorrenza dal 1.1.2021 (da calcolarsi per intero sulle unità in servizio)</w:t>
            </w:r>
          </w:p>
        </w:tc>
        <w:tc>
          <w:tcPr>
            <w:tcW w:w="1529" w:type="dxa"/>
            <w:tcBorders>
              <w:top w:val="single" w:sz="8" w:space="0" w:color="000000"/>
              <w:left w:val="single" w:sz="8" w:space="0" w:color="000000"/>
              <w:bottom w:val="single" w:sz="8" w:space="0" w:color="000000"/>
              <w:right w:val="single" w:sz="8" w:space="0" w:color="000000"/>
            </w:tcBorders>
            <w:vAlign w:val="center"/>
          </w:tcPr>
          <w:p w:rsidR="00E512CC" w:rsidRDefault="00C62582">
            <w:pPr>
              <w:spacing w:after="0"/>
              <w:ind w:left="5"/>
              <w:jc w:val="both"/>
            </w:pPr>
            <w:r>
              <w:t xml:space="preserve"> €            4.394,00 </w:t>
            </w:r>
          </w:p>
        </w:tc>
      </w:tr>
      <w:tr w:rsidR="00E512CC">
        <w:trPr>
          <w:trHeight w:val="696"/>
        </w:trPr>
        <w:tc>
          <w:tcPr>
            <w:tcW w:w="9461" w:type="dxa"/>
            <w:tcBorders>
              <w:top w:val="single" w:sz="8" w:space="0" w:color="000000"/>
              <w:left w:val="single" w:sz="8" w:space="0" w:color="000000"/>
              <w:bottom w:val="single" w:sz="8" w:space="0" w:color="000000"/>
              <w:right w:val="single" w:sz="8" w:space="0" w:color="000000"/>
            </w:tcBorders>
            <w:vAlign w:val="center"/>
          </w:tcPr>
          <w:p w:rsidR="00E512CC" w:rsidRDefault="00C62582">
            <w:pPr>
              <w:spacing w:after="0"/>
              <w:ind w:left="0"/>
            </w:pPr>
            <w:r>
              <w:rPr>
                <w:sz w:val="18"/>
              </w:rPr>
              <w:t>Art. 79, c. 1, lett. c), CCNL 16.11.2022: Risorse stanziate dagli enti in caso di incremento stabile della consistenza di personale, in coerenza con il piano dei fabbisogni, al fine di sostenere gli oneri dei maggiori trattamenti economici del personale</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rPr>
                <w:sz w:val="18"/>
              </w:rPr>
              <w:t>Art. 79, c. 1, lett. d), CCNL 16.11.2022: Differenziali stipendiali personale in servizio all'1/01/2021</w:t>
            </w:r>
          </w:p>
        </w:tc>
        <w:tc>
          <w:tcPr>
            <w:tcW w:w="1529"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5"/>
              <w:jc w:val="both"/>
            </w:pPr>
            <w:r>
              <w:t xml:space="preserve"> €            3.406,65 </w:t>
            </w:r>
          </w:p>
        </w:tc>
      </w:tr>
      <w:tr w:rsidR="00E512CC">
        <w:trPr>
          <w:trHeight w:val="466"/>
        </w:trPr>
        <w:tc>
          <w:tcPr>
            <w:tcW w:w="9461" w:type="dxa"/>
            <w:tcBorders>
              <w:top w:val="single" w:sz="8" w:space="0" w:color="000000"/>
              <w:left w:val="single" w:sz="8" w:space="0" w:color="000000"/>
              <w:bottom w:val="single" w:sz="8" w:space="0" w:color="000000"/>
              <w:right w:val="single" w:sz="8" w:space="0" w:color="000000"/>
            </w:tcBorders>
            <w:vAlign w:val="center"/>
          </w:tcPr>
          <w:p w:rsidR="00E512CC" w:rsidRDefault="00C62582">
            <w:pPr>
              <w:spacing w:after="0"/>
              <w:ind w:left="0"/>
            </w:pPr>
            <w:r>
              <w:rPr>
                <w:sz w:val="18"/>
              </w:rPr>
              <w:t>Art. 79, c. 1-bis, CCNL 16.11.2022: Differenze stipendiali personale inquadrato in B3 e D3 (DAL 1° APRILE 2023)</w:t>
            </w:r>
          </w:p>
        </w:tc>
        <w:tc>
          <w:tcPr>
            <w:tcW w:w="1529" w:type="dxa"/>
            <w:tcBorders>
              <w:top w:val="single" w:sz="8" w:space="0" w:color="000000"/>
              <w:left w:val="single" w:sz="8" w:space="0" w:color="000000"/>
              <w:bottom w:val="single" w:sz="8" w:space="0" w:color="000000"/>
              <w:right w:val="single" w:sz="8" w:space="0" w:color="000000"/>
            </w:tcBorders>
            <w:vAlign w:val="center"/>
          </w:tcPr>
          <w:p w:rsidR="00E512CC" w:rsidRDefault="00C62582">
            <w:pPr>
              <w:spacing w:after="0"/>
              <w:ind w:left="5"/>
              <w:jc w:val="both"/>
            </w:pPr>
            <w:r>
              <w:t xml:space="preserve"> €            7.275,72 </w:t>
            </w:r>
          </w:p>
        </w:tc>
      </w:tr>
      <w:tr w:rsidR="00E512CC">
        <w:trPr>
          <w:trHeight w:val="247"/>
        </w:trPr>
        <w:tc>
          <w:tcPr>
            <w:tcW w:w="9461" w:type="dxa"/>
            <w:tcBorders>
              <w:top w:val="single" w:sz="8" w:space="0" w:color="000000"/>
              <w:left w:val="nil"/>
              <w:bottom w:val="single" w:sz="8" w:space="0" w:color="000000"/>
              <w:right w:val="single" w:sz="8" w:space="0" w:color="000000"/>
            </w:tcBorders>
          </w:tcPr>
          <w:p w:rsidR="00E512CC" w:rsidRDefault="00C62582">
            <w:pPr>
              <w:spacing w:after="0"/>
              <w:ind w:left="0"/>
            </w:pPr>
            <w:r>
              <w:rPr>
                <w:sz w:val="18"/>
              </w:rPr>
              <w:t>Eventuale decurtazione per rispetto limite ex art. 23, co. 2, D. Lgs. n. 75/2017</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shd w:val="clear" w:color="auto" w:fill="00ABEA"/>
          </w:tcPr>
          <w:p w:rsidR="00E512CC" w:rsidRDefault="00C62582">
            <w:pPr>
              <w:spacing w:after="0"/>
              <w:ind w:left="2"/>
            </w:pPr>
            <w:r>
              <w:t>SOMMA RISORSE STABILI</w:t>
            </w:r>
          </w:p>
        </w:tc>
        <w:tc>
          <w:tcPr>
            <w:tcW w:w="1529" w:type="dxa"/>
            <w:tcBorders>
              <w:top w:val="single" w:sz="8" w:space="0" w:color="000000"/>
              <w:left w:val="single" w:sz="8" w:space="0" w:color="000000"/>
              <w:bottom w:val="single" w:sz="8" w:space="0" w:color="000000"/>
              <w:right w:val="single" w:sz="8" w:space="0" w:color="000000"/>
            </w:tcBorders>
            <w:shd w:val="clear" w:color="auto" w:fill="00ABEA"/>
          </w:tcPr>
          <w:p w:rsidR="00E512CC" w:rsidRDefault="00C62582">
            <w:pPr>
              <w:spacing w:after="0"/>
              <w:ind w:left="5"/>
            </w:pPr>
            <w:r>
              <w:t xml:space="preserve"> €       227.140,57 </w:t>
            </w: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shd w:val="clear" w:color="auto" w:fill="99CC00"/>
          </w:tcPr>
          <w:p w:rsidR="00E512CC" w:rsidRDefault="00C62582">
            <w:pPr>
              <w:spacing w:after="0"/>
              <w:ind w:left="0"/>
            </w:pPr>
            <w:r>
              <w:t>FONTI DI FINANZIAMENTO VARIABILI SOGGETTE AL LIMITE</w:t>
            </w:r>
          </w:p>
        </w:tc>
        <w:tc>
          <w:tcPr>
            <w:tcW w:w="1529" w:type="dxa"/>
            <w:tcBorders>
              <w:top w:val="single" w:sz="8" w:space="0" w:color="000000"/>
              <w:left w:val="single" w:sz="8" w:space="0" w:color="000000"/>
              <w:bottom w:val="single" w:sz="8" w:space="0" w:color="000000"/>
              <w:right w:val="single" w:sz="8" w:space="0" w:color="000000"/>
            </w:tcBorders>
            <w:shd w:val="clear" w:color="auto" w:fill="99CC00"/>
          </w:tcPr>
          <w:p w:rsidR="00E512CC" w:rsidRDefault="00C62582">
            <w:pPr>
              <w:spacing w:after="0"/>
              <w:ind w:left="2"/>
            </w:pPr>
            <w:r>
              <w:t xml:space="preserve"> IMPORTI </w:t>
            </w:r>
          </w:p>
        </w:tc>
      </w:tr>
      <w:tr w:rsidR="00E512CC">
        <w:trPr>
          <w:trHeight w:val="742"/>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lastRenderedPageBreak/>
              <w:t>Art. 79, co. 2, lett. a), CCNL 16.11.2022 - Art. 67 del CCNL del 21.02.2018 c. 3 lett. a) Somme derivanti dall’attuazione dell’art. 43, L. 449/1997 (contratti di  sponsorizzazione – convenzioni – contributi dell’utenza già esistenti).</w:t>
            </w:r>
          </w:p>
        </w:tc>
        <w:tc>
          <w:tcPr>
            <w:tcW w:w="1529" w:type="dxa"/>
            <w:tcBorders>
              <w:top w:val="single" w:sz="8" w:space="0" w:color="000000"/>
              <w:left w:val="single" w:sz="8" w:space="0" w:color="000000"/>
              <w:bottom w:val="single" w:sz="8" w:space="0" w:color="000000"/>
              <w:right w:val="single" w:sz="8" w:space="0" w:color="000000"/>
            </w:tcBorders>
            <w:vAlign w:val="center"/>
          </w:tcPr>
          <w:p w:rsidR="00E512CC" w:rsidRDefault="00C62582">
            <w:pPr>
              <w:spacing w:after="0"/>
              <w:ind w:left="2"/>
            </w:pPr>
            <w:r>
              <w:t xml:space="preserve"> €                        -   </w:t>
            </w:r>
          </w:p>
        </w:tc>
      </w:tr>
    </w:tbl>
    <w:p w:rsidR="00E512CC" w:rsidRDefault="00E512CC">
      <w:pPr>
        <w:spacing w:after="0"/>
        <w:ind w:left="-1440" w:right="10466"/>
      </w:pPr>
    </w:p>
    <w:tbl>
      <w:tblPr>
        <w:tblStyle w:val="TableGrid"/>
        <w:tblW w:w="10990" w:type="dxa"/>
        <w:tblInd w:w="-1068" w:type="dxa"/>
        <w:tblCellMar>
          <w:top w:w="50" w:type="dxa"/>
          <w:left w:w="31" w:type="dxa"/>
          <w:right w:w="22" w:type="dxa"/>
        </w:tblCellMar>
        <w:tblLook w:val="04A0"/>
      </w:tblPr>
      <w:tblGrid>
        <w:gridCol w:w="9461"/>
        <w:gridCol w:w="1529"/>
      </w:tblGrid>
      <w:tr w:rsidR="00E512CC">
        <w:trPr>
          <w:trHeight w:val="1236"/>
        </w:trPr>
        <w:tc>
          <w:tcPr>
            <w:tcW w:w="9461" w:type="dxa"/>
            <w:tcBorders>
              <w:top w:val="single" w:sz="8" w:space="0" w:color="000000"/>
              <w:left w:val="single" w:sz="8" w:space="0" w:color="000000"/>
              <w:bottom w:val="single" w:sz="8" w:space="0" w:color="000000"/>
              <w:right w:val="single" w:sz="8" w:space="0" w:color="000000"/>
            </w:tcBorders>
            <w:vAlign w:val="center"/>
          </w:tcPr>
          <w:p w:rsidR="00E512CC" w:rsidRDefault="00C62582">
            <w:pPr>
              <w:spacing w:after="0"/>
              <w:ind w:left="2"/>
            </w:pPr>
            <w:r>
              <w:t>Art. 79, co. 2, lett. a), CCNL 16.11.2022 - art. 15 c. 1 lett. k) CCNL 01.041999 - art. 67 del CCNL del 21.02.2018 c. 3 lett. c) Ricomprende sia le risorse derivanti dalla applicazione dell’art. 3, comma 57 della legge n. 662 del 1996 e dall’art. 59, comma 1, lett. p) del D. Lgs.n.446 del 1997 (recupero evasione ICI), sia le ulteriori risorse correlate agli effetti applicativi dell’art. 12, comma 1, lett. b) del D.L. n. 437 del 1996, convertito nella legge n. 556 del 1996.</w:t>
            </w:r>
          </w:p>
        </w:tc>
        <w:tc>
          <w:tcPr>
            <w:tcW w:w="1529" w:type="dxa"/>
            <w:tcBorders>
              <w:top w:val="single" w:sz="8" w:space="0" w:color="000000"/>
              <w:left w:val="single" w:sz="8" w:space="0" w:color="000000"/>
              <w:bottom w:val="single" w:sz="8" w:space="0" w:color="000000"/>
              <w:right w:val="single" w:sz="8" w:space="0" w:color="000000"/>
            </w:tcBorders>
            <w:vAlign w:val="center"/>
          </w:tcPr>
          <w:p w:rsidR="00E512CC" w:rsidRDefault="00C62582">
            <w:pPr>
              <w:spacing w:after="0"/>
              <w:ind w:left="5"/>
            </w:pPr>
            <w:r>
              <w:t xml:space="preserve"> €                        -   </w:t>
            </w:r>
          </w:p>
        </w:tc>
      </w:tr>
      <w:tr w:rsidR="00E512CC">
        <w:trPr>
          <w:trHeight w:val="742"/>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2"/>
            </w:pPr>
            <w:r>
              <w:t>Art. 4 del CCNL 5/10/2001 c. 2 - art. 67 del CCNL del 21.02.2018 c. 3 lett. d) Integrazione risorse dell’importo mensile residuo della retribuzione individuale di anzianità e degli assegni ad personam in godimento da parte del personale comunque cessato nell'anno in corso.</w:t>
            </w:r>
          </w:p>
        </w:tc>
        <w:tc>
          <w:tcPr>
            <w:tcW w:w="1529" w:type="dxa"/>
            <w:tcBorders>
              <w:top w:val="single" w:sz="8" w:space="0" w:color="000000"/>
              <w:left w:val="single" w:sz="8" w:space="0" w:color="000000"/>
              <w:bottom w:val="single" w:sz="8" w:space="0" w:color="000000"/>
              <w:right w:val="single" w:sz="8" w:space="0" w:color="000000"/>
            </w:tcBorders>
            <w:vAlign w:val="center"/>
          </w:tcPr>
          <w:p w:rsidR="00E512CC" w:rsidRDefault="00C62582">
            <w:pPr>
              <w:spacing w:after="0"/>
              <w:ind w:left="5"/>
            </w:pPr>
            <w:r>
              <w:t xml:space="preserve"> €                        -   </w:t>
            </w:r>
          </w:p>
        </w:tc>
      </w:tr>
      <w:tr w:rsidR="00E512CC">
        <w:trPr>
          <w:trHeight w:val="494"/>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2"/>
            </w:pPr>
            <w:r>
              <w:t>Art. 54 CCNL 14/9/2000 - Art. 67 del CCNL del 21.02.2018 c. 3 lett. f) Quota parte rimborso spese per notificazione atti dell’amministrazione finanziaria (messi notificatori).</w:t>
            </w:r>
          </w:p>
        </w:tc>
        <w:tc>
          <w:tcPr>
            <w:tcW w:w="1529" w:type="dxa"/>
            <w:tcBorders>
              <w:top w:val="single" w:sz="8" w:space="0" w:color="000000"/>
              <w:left w:val="single" w:sz="8" w:space="0" w:color="000000"/>
              <w:bottom w:val="single" w:sz="8" w:space="0" w:color="000000"/>
              <w:right w:val="single" w:sz="8" w:space="0" w:color="000000"/>
            </w:tcBorders>
            <w:vAlign w:val="center"/>
          </w:tcPr>
          <w:p w:rsidR="00E512CC" w:rsidRDefault="00C62582">
            <w:pPr>
              <w:spacing w:after="0"/>
              <w:ind w:left="5"/>
            </w:pPr>
            <w:r>
              <w:t xml:space="preserve"> €                        -   </w:t>
            </w:r>
          </w:p>
        </w:tc>
      </w:tr>
      <w:tr w:rsidR="00E512CC">
        <w:trPr>
          <w:trHeight w:val="494"/>
        </w:trPr>
        <w:tc>
          <w:tcPr>
            <w:tcW w:w="9461" w:type="dxa"/>
            <w:tcBorders>
              <w:top w:val="single" w:sz="8" w:space="0" w:color="000000"/>
              <w:left w:val="single" w:sz="8" w:space="0" w:color="000000"/>
              <w:bottom w:val="single" w:sz="8" w:space="0" w:color="000000"/>
              <w:right w:val="single" w:sz="8" w:space="0" w:color="000000"/>
            </w:tcBorders>
            <w:vAlign w:val="center"/>
          </w:tcPr>
          <w:p w:rsidR="00E512CC" w:rsidRDefault="00C62582">
            <w:pPr>
              <w:spacing w:after="0"/>
              <w:ind w:left="2"/>
              <w:jc w:val="both"/>
            </w:pPr>
            <w:r>
              <w:t>Art. 67 del CCNL del 21.05.2018 c. 3 lett. g) Risorse destinate ai trattamenti accessori personale delle case da gioco.</w:t>
            </w:r>
          </w:p>
        </w:tc>
        <w:tc>
          <w:tcPr>
            <w:tcW w:w="1529" w:type="dxa"/>
            <w:tcBorders>
              <w:top w:val="single" w:sz="8" w:space="0" w:color="000000"/>
              <w:left w:val="single" w:sz="8" w:space="0" w:color="000000"/>
              <w:bottom w:val="single" w:sz="8" w:space="0" w:color="000000"/>
              <w:right w:val="single" w:sz="8" w:space="0" w:color="000000"/>
            </w:tcBorders>
            <w:vAlign w:val="center"/>
          </w:tcPr>
          <w:p w:rsidR="00E512CC" w:rsidRDefault="00C62582">
            <w:pPr>
              <w:spacing w:after="0"/>
              <w:ind w:left="5"/>
            </w:pPr>
            <w:r>
              <w:t xml:space="preserve"> €                        -   </w:t>
            </w:r>
          </w:p>
        </w:tc>
      </w:tr>
      <w:tr w:rsidR="00E512CC">
        <w:trPr>
          <w:trHeight w:val="1068"/>
        </w:trPr>
        <w:tc>
          <w:tcPr>
            <w:tcW w:w="9461" w:type="dxa"/>
            <w:tcBorders>
              <w:top w:val="single" w:sz="8" w:space="0" w:color="000000"/>
              <w:left w:val="single" w:sz="8" w:space="0" w:color="000000"/>
              <w:bottom w:val="single" w:sz="8" w:space="0" w:color="000000"/>
              <w:right w:val="single" w:sz="8" w:space="0" w:color="000000"/>
            </w:tcBorders>
            <w:vAlign w:val="center"/>
          </w:tcPr>
          <w:p w:rsidR="00E512CC" w:rsidRDefault="00C62582">
            <w:pPr>
              <w:spacing w:after="0"/>
              <w:ind w:left="2"/>
            </w:pPr>
            <w:r>
              <w:t>Art. 79, co. 2, lett. b), CCNL 16.11.2022 - art. 67 CCNL del 21.05.2018 c. 3 lett. h) In sede di contrattazione decentrata, verificata nel bilancio la capacità di spesa, una integrazione, dal 1/4/1999, delle risorse di cui al comma 1, fino all’1,2% su base annua, del monte salari dell’anno 1997, esclusa la quota  relativa alla dirigenza.</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2"/>
            </w:pPr>
            <w:r>
              <w:t xml:space="preserve">ART. 27 CCNL 14.09.2000 - art. 67 del CCNL del 21.05.2018 c. 3 lett. c) Incentivi avvocatura interna </w:t>
            </w:r>
          </w:p>
        </w:tc>
        <w:tc>
          <w:tcPr>
            <w:tcW w:w="1529"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5"/>
            </w:pPr>
            <w:r>
              <w:t xml:space="preserve"> €                        -   </w:t>
            </w:r>
          </w:p>
        </w:tc>
      </w:tr>
      <w:tr w:rsidR="00E512CC">
        <w:trPr>
          <w:trHeight w:val="696"/>
        </w:trPr>
        <w:tc>
          <w:tcPr>
            <w:tcW w:w="9461" w:type="dxa"/>
            <w:tcBorders>
              <w:top w:val="single" w:sz="8" w:space="0" w:color="000000"/>
              <w:left w:val="single" w:sz="8" w:space="0" w:color="000000"/>
              <w:bottom w:val="single" w:sz="8" w:space="0" w:color="000000"/>
              <w:right w:val="single" w:sz="8" w:space="0" w:color="000000"/>
            </w:tcBorders>
            <w:vAlign w:val="center"/>
          </w:tcPr>
          <w:p w:rsidR="00E512CC" w:rsidRDefault="00C62582">
            <w:pPr>
              <w:spacing w:after="0"/>
              <w:ind w:left="0"/>
            </w:pPr>
            <w:r>
              <w:rPr>
                <w:sz w:val="18"/>
              </w:rPr>
              <w:t>Art. 79, co. 2, lett. c), del CCNL 16.11.2022 - Risorse finalizzate ad adeguare le disponibilità del Fondo sulla base di scelte organizzative, gestionali e di politica retributiva degli enti, anche connesse ad assunzioni di personale a tempo determinato.</w:t>
            </w:r>
          </w:p>
        </w:tc>
        <w:tc>
          <w:tcPr>
            <w:tcW w:w="1529" w:type="dxa"/>
            <w:tcBorders>
              <w:top w:val="single" w:sz="8" w:space="0" w:color="000000"/>
              <w:left w:val="single" w:sz="8" w:space="0" w:color="000000"/>
              <w:bottom w:val="single" w:sz="8" w:space="0" w:color="000000"/>
              <w:right w:val="single" w:sz="8" w:space="0" w:color="000000"/>
            </w:tcBorders>
            <w:vAlign w:val="center"/>
          </w:tcPr>
          <w:p w:rsidR="00E512CC" w:rsidRDefault="00C62582">
            <w:pPr>
              <w:spacing w:after="0"/>
              <w:ind w:left="5"/>
            </w:pPr>
            <w:r>
              <w:t xml:space="preserve"> €                        -   </w:t>
            </w:r>
          </w:p>
        </w:tc>
      </w:tr>
      <w:tr w:rsidR="00E512CC">
        <w:trPr>
          <w:trHeight w:val="742"/>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2"/>
            </w:pPr>
            <w:r>
              <w:t>Art. 67 del CCNL del 21.05.2018 c. 3 lett. k) Integrazione all'art. 62 del CCNL del 21.02.2018 c. 2 lett. e) somme connesse al trattamento economico accessorio del personale trasferito agli enti del comparto a seguito processi di decentramento e delega di funzioni.</w:t>
            </w:r>
          </w:p>
        </w:tc>
        <w:tc>
          <w:tcPr>
            <w:tcW w:w="1529" w:type="dxa"/>
            <w:tcBorders>
              <w:top w:val="single" w:sz="8" w:space="0" w:color="000000"/>
              <w:left w:val="single" w:sz="8" w:space="0" w:color="000000"/>
              <w:bottom w:val="single" w:sz="8" w:space="0" w:color="000000"/>
              <w:right w:val="single" w:sz="8" w:space="0" w:color="000000"/>
            </w:tcBorders>
            <w:vAlign w:val="center"/>
          </w:tcPr>
          <w:p w:rsidR="00E512CC" w:rsidRDefault="00C62582">
            <w:pPr>
              <w:spacing w:after="0"/>
              <w:ind w:left="5"/>
            </w:pPr>
            <w:r>
              <w:t xml:space="preserve"> €                        -   </w:t>
            </w: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shd w:val="clear" w:color="auto" w:fill="99CC00"/>
          </w:tcPr>
          <w:p w:rsidR="00E512CC" w:rsidRDefault="00C62582">
            <w:pPr>
              <w:spacing w:after="0"/>
              <w:ind w:left="2"/>
            </w:pPr>
            <w:r>
              <w:t>SOMMA RISORSE VARIABILI SOGGETTE AL LIMITE</w:t>
            </w:r>
          </w:p>
        </w:tc>
        <w:tc>
          <w:tcPr>
            <w:tcW w:w="1529" w:type="dxa"/>
            <w:tcBorders>
              <w:top w:val="single" w:sz="8" w:space="0" w:color="000000"/>
              <w:left w:val="single" w:sz="8" w:space="0" w:color="000000"/>
              <w:bottom w:val="single" w:sz="8" w:space="0" w:color="000000"/>
              <w:right w:val="single" w:sz="8" w:space="0" w:color="000000"/>
            </w:tcBorders>
            <w:shd w:val="clear" w:color="auto" w:fill="99CC00"/>
          </w:tcPr>
          <w:p w:rsidR="00E512CC" w:rsidRDefault="00C62582">
            <w:pPr>
              <w:spacing w:after="0"/>
              <w:ind w:left="5"/>
            </w:pPr>
            <w:r>
              <w:t xml:space="preserve"> €                        -   </w:t>
            </w: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23 C. DLGS 75/2017: CALCOLO DEL RISPETTO DEL LIMITE DEL SALARIO ACCESSORIO ANNO 2016</w:t>
            </w:r>
          </w:p>
        </w:tc>
        <w:tc>
          <w:tcPr>
            <w:tcW w:w="1529"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 xml:space="preserve"> IMPORTI </w:t>
            </w:r>
          </w:p>
        </w:tc>
      </w:tr>
      <w:tr w:rsidR="00E512CC">
        <w:trPr>
          <w:trHeight w:val="494"/>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Totale parziale risorse disponibili per il fondo anno corrente ai fini del confronto con il tetto complessivo del salario accessorio dell'anno 2016</w:t>
            </w:r>
          </w:p>
        </w:tc>
        <w:tc>
          <w:tcPr>
            <w:tcW w:w="1529"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 xml:space="preserve"> €       206.392,00 </w:t>
            </w:r>
          </w:p>
        </w:tc>
      </w:tr>
      <w:tr w:rsidR="00E512CC">
        <w:trPr>
          <w:trHeight w:val="494"/>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23 c. 2 del dlgs 75/2017 Eventuale decurtazione annuale rispetto il tetto complessivo del salario accessorio dell'anno 2016</w:t>
            </w:r>
          </w:p>
        </w:tc>
        <w:tc>
          <w:tcPr>
            <w:tcW w:w="1529"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 xml:space="preserve"> €         15.772,00 </w:t>
            </w: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shd w:val="clear" w:color="auto" w:fill="FF6600"/>
          </w:tcPr>
          <w:p w:rsidR="00E512CC" w:rsidRDefault="00C62582">
            <w:pPr>
              <w:spacing w:after="0"/>
              <w:ind w:left="0"/>
            </w:pPr>
            <w:r>
              <w:t>FONTI DI FINANZIAMENTO VARIABILI NON SOGGETTE AL LIMITE</w:t>
            </w:r>
          </w:p>
        </w:tc>
        <w:tc>
          <w:tcPr>
            <w:tcW w:w="1529" w:type="dxa"/>
            <w:tcBorders>
              <w:top w:val="single" w:sz="8" w:space="0" w:color="000000"/>
              <w:left w:val="single" w:sz="8" w:space="0" w:color="000000"/>
              <w:bottom w:val="single" w:sz="8" w:space="0" w:color="000000"/>
              <w:right w:val="single" w:sz="8" w:space="0" w:color="000000"/>
            </w:tcBorders>
            <w:shd w:val="clear" w:color="auto" w:fill="FF6600"/>
          </w:tcPr>
          <w:p w:rsidR="00E512CC" w:rsidRDefault="00C62582">
            <w:pPr>
              <w:spacing w:after="0"/>
              <w:ind w:left="2"/>
            </w:pPr>
            <w:r>
              <w:t xml:space="preserve"> IMPORTI </w:t>
            </w:r>
          </w:p>
        </w:tc>
      </w:tr>
      <w:tr w:rsidR="00E512CC">
        <w:trPr>
          <w:trHeight w:val="742"/>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79, co. 1, lett. a), del CCNL 16.11.2022 - Art. 67 del CCNL del 21.05.2018 c. 3 lett. a) Somme derivanti dall’attuazione dell’art. 43, L. 449/1997 (contratti di nuove sponsorizzazione – convenzioni – contributi dell’utenza).</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494"/>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79, co. 1, lett. a), del CCNL 16.11.2022 - Art. 67 del CCNL del 21.05.2018 c. 3 lett. b) Piani di razionalizzazione e riqualificazione della spesa</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494"/>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15 c.1 lett. k) CCNL 1998-2001 - art. 67 del CCNL del 21.05.2018 c. 3 lett. c) Incentivi per funzioni tecniche, art. 113 D. Lgs. 50/2016, art. 76 D. Lgs. 56/2017, art. 45 D. Lgs. 36/2023</w:t>
            </w:r>
          </w:p>
        </w:tc>
        <w:tc>
          <w:tcPr>
            <w:tcW w:w="1529" w:type="dxa"/>
            <w:tcBorders>
              <w:top w:val="single" w:sz="8" w:space="0" w:color="000000"/>
              <w:left w:val="single" w:sz="8" w:space="0" w:color="000000"/>
              <w:bottom w:val="single" w:sz="8" w:space="0" w:color="000000"/>
              <w:right w:val="single" w:sz="8" w:space="0" w:color="000000"/>
            </w:tcBorders>
          </w:tcPr>
          <w:p w:rsidR="00E512CC" w:rsidRDefault="00C62582" w:rsidP="00C62582">
            <w:pPr>
              <w:spacing w:after="160"/>
              <w:ind w:left="0"/>
              <w:jc w:val="right"/>
            </w:pPr>
            <w:r>
              <w:t>70.000,00</w:t>
            </w: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1 c. 1091 legge n. 145/2018 Incentivi settore entrate tributarie</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 xml:space="preserve">Compensi ISTAT </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 xml:space="preserve">ART. 27 CCNL 14.09.2000 - art. 67 del CCNL del 21.05.2018 c. 3 lett. c) Incentivi avvocatura interna </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494"/>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79, co. 2, lett. d), del CCNL del 16.11.2022 - Eventuali risparmi derivanti dalla applicazione della disciplina dello straordinario di cui all’art. 14.</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lastRenderedPageBreak/>
              <w:t>Art. 79, co. 3, del CCNL 16.11.2022 - 0,22% del monte salari anno 2018 con decorrenza 1/01/2022</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494"/>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79, co. 5, del CCNL 16.11.2022 - euro 84,50 per unità in servizio al 31/12/2018, quota una tantum riferita alle annualità 2021 e 2022</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494"/>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67 del CCNL del 21.05.2018 c. 3 lett. j) Per le Regioni a statuto ordinario e Città Metropolitane ai sensi dell'art. 23 c. 4 del D. Lgs. 75/2017 incremento percetuale dell'importo di cui all'art. 67 c. 1 e 2.</w:t>
            </w:r>
          </w:p>
        </w:tc>
        <w:tc>
          <w:tcPr>
            <w:tcW w:w="1529"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2"/>
            </w:pPr>
            <w:r>
              <w:t xml:space="preserve"> €                        -   </w:t>
            </w:r>
          </w:p>
        </w:tc>
      </w:tr>
      <w:tr w:rsidR="00E512CC">
        <w:trPr>
          <w:trHeight w:val="494"/>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17 c. 5 CCNL 1.04.1999 - Art. 80 c. 1 del CCNL 16.11.2022 Somme non utilizzate nell’esercizio precedente (di parte stabile)</w:t>
            </w:r>
          </w:p>
        </w:tc>
        <w:tc>
          <w:tcPr>
            <w:tcW w:w="1529"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2"/>
              <w:jc w:val="both"/>
            </w:pPr>
            <w:r>
              <w:t xml:space="preserve"> €            5.455,93 </w:t>
            </w: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shd w:val="clear" w:color="auto" w:fill="FF6600"/>
          </w:tcPr>
          <w:p w:rsidR="00E512CC" w:rsidRDefault="00C62582">
            <w:pPr>
              <w:spacing w:after="0"/>
              <w:ind w:left="0"/>
            </w:pPr>
            <w:r>
              <w:t>SOMMA RISORSE VARIABILI NON SOGGETTE AL LIMITE</w:t>
            </w:r>
          </w:p>
        </w:tc>
        <w:tc>
          <w:tcPr>
            <w:tcW w:w="1529" w:type="dxa"/>
            <w:tcBorders>
              <w:top w:val="single" w:sz="8" w:space="0" w:color="000000"/>
              <w:left w:val="single" w:sz="8" w:space="0" w:color="000000"/>
              <w:bottom w:val="single" w:sz="8" w:space="0" w:color="000000"/>
              <w:right w:val="single" w:sz="8" w:space="0" w:color="000000"/>
            </w:tcBorders>
            <w:shd w:val="clear" w:color="auto" w:fill="FF6600"/>
          </w:tcPr>
          <w:p w:rsidR="00E512CC" w:rsidRDefault="00C62582">
            <w:pPr>
              <w:spacing w:after="0"/>
              <w:ind w:left="2"/>
              <w:jc w:val="both"/>
            </w:pPr>
            <w:r>
              <w:t xml:space="preserve"> €            75.455,93 </w:t>
            </w: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shd w:val="clear" w:color="auto" w:fill="FCF305"/>
          </w:tcPr>
          <w:p w:rsidR="00E512CC" w:rsidRDefault="00C62582">
            <w:pPr>
              <w:spacing w:after="0"/>
              <w:ind w:left="0"/>
            </w:pPr>
            <w:r>
              <w:t>RIEPILOGO PARZIALE</w:t>
            </w:r>
          </w:p>
        </w:tc>
        <w:tc>
          <w:tcPr>
            <w:tcW w:w="1529" w:type="dxa"/>
            <w:tcBorders>
              <w:top w:val="single" w:sz="8" w:space="0" w:color="000000"/>
              <w:left w:val="single" w:sz="8" w:space="0" w:color="000000"/>
              <w:bottom w:val="single" w:sz="8" w:space="0" w:color="000000"/>
              <w:right w:val="single" w:sz="8" w:space="0" w:color="000000"/>
            </w:tcBorders>
            <w:shd w:val="clear" w:color="auto" w:fill="FCF305"/>
          </w:tcPr>
          <w:p w:rsidR="00E512CC" w:rsidRDefault="00C62582">
            <w:pPr>
              <w:spacing w:after="0"/>
              <w:ind w:left="2"/>
            </w:pPr>
            <w:r>
              <w:t xml:space="preserve"> IMPORTI </w:t>
            </w: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TOTALE PARZIALE RISORSE DISPONIBILI PER IL FONDO SALARIO ACCESSORIO</w:t>
            </w:r>
          </w:p>
        </w:tc>
        <w:tc>
          <w:tcPr>
            <w:tcW w:w="1529"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2"/>
            </w:pPr>
            <w:r>
              <w:t xml:space="preserve"> €       211.368,57 </w:t>
            </w: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SOMMA RISORSE VARIABILI NON SOGGETTE AL LIMITE</w:t>
            </w:r>
          </w:p>
        </w:tc>
        <w:tc>
          <w:tcPr>
            <w:tcW w:w="1529"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2"/>
              <w:jc w:val="both"/>
            </w:pPr>
            <w:r>
              <w:t xml:space="preserve"> €            75.455,93 </w:t>
            </w:r>
          </w:p>
        </w:tc>
      </w:tr>
    </w:tbl>
    <w:p w:rsidR="00E512CC" w:rsidRDefault="00E512CC">
      <w:pPr>
        <w:spacing w:after="0"/>
        <w:ind w:left="-1440" w:right="10466"/>
      </w:pPr>
    </w:p>
    <w:tbl>
      <w:tblPr>
        <w:tblStyle w:val="TableGrid"/>
        <w:tblW w:w="10990" w:type="dxa"/>
        <w:tblInd w:w="-1068" w:type="dxa"/>
        <w:tblCellMar>
          <w:top w:w="47" w:type="dxa"/>
          <w:left w:w="34" w:type="dxa"/>
        </w:tblCellMar>
        <w:tblLook w:val="04A0"/>
      </w:tblPr>
      <w:tblGrid>
        <w:gridCol w:w="9461"/>
        <w:gridCol w:w="1529"/>
      </w:tblGrid>
      <w:tr w:rsidR="00E512CC">
        <w:trPr>
          <w:trHeight w:val="245"/>
        </w:trPr>
        <w:tc>
          <w:tcPr>
            <w:tcW w:w="9461" w:type="dxa"/>
            <w:tcBorders>
              <w:top w:val="single" w:sz="8" w:space="0" w:color="000000"/>
              <w:left w:val="single" w:sz="8" w:space="0" w:color="000000"/>
              <w:bottom w:val="single" w:sz="8" w:space="0" w:color="000000"/>
              <w:right w:val="single" w:sz="8" w:space="0" w:color="000000"/>
            </w:tcBorders>
            <w:shd w:val="clear" w:color="auto" w:fill="FCF305"/>
          </w:tcPr>
          <w:p w:rsidR="00E512CC" w:rsidRDefault="00C62582">
            <w:pPr>
              <w:spacing w:after="0"/>
              <w:ind w:left="0"/>
            </w:pPr>
            <w:r>
              <w:t>TOTALE RISORSE DISPONIBILI</w:t>
            </w:r>
          </w:p>
        </w:tc>
        <w:tc>
          <w:tcPr>
            <w:tcW w:w="1529" w:type="dxa"/>
            <w:tcBorders>
              <w:top w:val="single" w:sz="8" w:space="0" w:color="000000"/>
              <w:left w:val="single" w:sz="8" w:space="0" w:color="000000"/>
              <w:bottom w:val="single" w:sz="8" w:space="0" w:color="000000"/>
              <w:right w:val="single" w:sz="8" w:space="0" w:color="000000"/>
            </w:tcBorders>
            <w:shd w:val="clear" w:color="auto" w:fill="FCF305"/>
          </w:tcPr>
          <w:p w:rsidR="00E512CC" w:rsidRDefault="00C62582">
            <w:pPr>
              <w:spacing w:after="0"/>
              <w:ind w:left="2"/>
            </w:pPr>
            <w:r>
              <w:t xml:space="preserve"> €       286.824,50 </w:t>
            </w: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shd w:val="clear" w:color="auto" w:fill="00ABEA"/>
          </w:tcPr>
          <w:p w:rsidR="00E512CC" w:rsidRDefault="00C62582">
            <w:pPr>
              <w:spacing w:after="0"/>
              <w:ind w:left="0"/>
            </w:pPr>
            <w:r>
              <w:t>UTILIZZO RISORSE STABILI</w:t>
            </w:r>
          </w:p>
        </w:tc>
        <w:tc>
          <w:tcPr>
            <w:tcW w:w="1529" w:type="dxa"/>
            <w:tcBorders>
              <w:top w:val="single" w:sz="8" w:space="0" w:color="000000"/>
              <w:left w:val="single" w:sz="8" w:space="0" w:color="000000"/>
              <w:bottom w:val="single" w:sz="8" w:space="0" w:color="000000"/>
              <w:right w:val="single" w:sz="8" w:space="0" w:color="000000"/>
            </w:tcBorders>
            <w:shd w:val="clear" w:color="auto" w:fill="00ABEA"/>
          </w:tcPr>
          <w:p w:rsidR="00E512CC" w:rsidRDefault="00C62582">
            <w:pPr>
              <w:spacing w:after="0"/>
              <w:ind w:left="2"/>
            </w:pPr>
            <w:r>
              <w:t xml:space="preserve"> IMPORTI </w:t>
            </w: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80, c. 1, CCNL 16.11.2022 Fondo per Progressioni orizzontali anni precedenti</w:t>
            </w:r>
          </w:p>
        </w:tc>
        <w:tc>
          <w:tcPr>
            <w:tcW w:w="1529"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2"/>
              <w:jc w:val="both"/>
            </w:pPr>
            <w:r>
              <w:t xml:space="preserve"> €          55.000,00 </w:t>
            </w: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33 c. 4 lett. b) e c) CCNL 22/1/2004 - art. 80 c. 1 CCNL 16.11.2022 Indennità di comparto.</w:t>
            </w:r>
          </w:p>
        </w:tc>
        <w:tc>
          <w:tcPr>
            <w:tcW w:w="1529"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2"/>
              <w:jc w:val="both"/>
            </w:pPr>
            <w:r>
              <w:t xml:space="preserve"> €          18.000,00 </w:t>
            </w:r>
          </w:p>
        </w:tc>
      </w:tr>
      <w:tr w:rsidR="00E512CC">
        <w:trPr>
          <w:trHeight w:val="494"/>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31 c. 7 CCNL 14.09.2000, art. 6 CCNL 05.10.2001 - art. 68 c. 1 CCNL 21.05.2018 Incremento indennità personale educativo asili nido.</w:t>
            </w:r>
          </w:p>
        </w:tc>
        <w:tc>
          <w:tcPr>
            <w:tcW w:w="1529"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2"/>
            </w:pPr>
            <w:r>
              <w:t xml:space="preserve"> €                        -   </w:t>
            </w:r>
          </w:p>
        </w:tc>
      </w:tr>
      <w:tr w:rsidR="00E512CC">
        <w:trPr>
          <w:trHeight w:val="494"/>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37 c. 4 CCNL 06.07.1995 - art. 68 c. 1 CCNL 21.05.2018 Indennità ex VIII qualifica funzionale non titolare di posizione organizzativa.</w:t>
            </w:r>
          </w:p>
        </w:tc>
        <w:tc>
          <w:tcPr>
            <w:tcW w:w="1529"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2"/>
            </w:pPr>
            <w:r>
              <w:t xml:space="preserve"> €                        -   </w:t>
            </w: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shd w:val="clear" w:color="auto" w:fill="00ABEA"/>
          </w:tcPr>
          <w:p w:rsidR="00E512CC" w:rsidRDefault="00C62582">
            <w:pPr>
              <w:spacing w:after="0"/>
              <w:ind w:left="0"/>
            </w:pPr>
            <w:r>
              <w:t>SOMMA UTILIZZO RISORSE STABILI</w:t>
            </w:r>
          </w:p>
        </w:tc>
        <w:tc>
          <w:tcPr>
            <w:tcW w:w="1529" w:type="dxa"/>
            <w:tcBorders>
              <w:top w:val="single" w:sz="8" w:space="0" w:color="000000"/>
              <w:left w:val="single" w:sz="8" w:space="0" w:color="000000"/>
              <w:bottom w:val="single" w:sz="8" w:space="0" w:color="000000"/>
              <w:right w:val="single" w:sz="8" w:space="0" w:color="000000"/>
            </w:tcBorders>
            <w:shd w:val="clear" w:color="auto" w:fill="00ABEA"/>
          </w:tcPr>
          <w:p w:rsidR="00E512CC" w:rsidRDefault="00C62582">
            <w:pPr>
              <w:spacing w:after="0"/>
              <w:ind w:left="2"/>
              <w:jc w:val="both"/>
            </w:pPr>
            <w:r>
              <w:t xml:space="preserve"> €          73.000,00 </w:t>
            </w: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shd w:val="clear" w:color="auto" w:fill="6711FF"/>
          </w:tcPr>
          <w:p w:rsidR="00E512CC" w:rsidRDefault="00C62582">
            <w:pPr>
              <w:spacing w:after="0"/>
              <w:ind w:left="0"/>
            </w:pPr>
            <w:r>
              <w:t>UTILIZZO RISORSE VARIABILI</w:t>
            </w:r>
          </w:p>
        </w:tc>
        <w:tc>
          <w:tcPr>
            <w:tcW w:w="1529" w:type="dxa"/>
            <w:tcBorders>
              <w:top w:val="single" w:sz="8" w:space="0" w:color="000000"/>
              <w:left w:val="single" w:sz="8" w:space="0" w:color="000000"/>
              <w:bottom w:val="single" w:sz="8" w:space="0" w:color="000000"/>
              <w:right w:val="single" w:sz="8" w:space="0" w:color="000000"/>
            </w:tcBorders>
            <w:shd w:val="clear" w:color="auto" w:fill="6711FF"/>
          </w:tcPr>
          <w:p w:rsidR="00E512CC" w:rsidRDefault="00C62582">
            <w:pPr>
              <w:spacing w:after="0"/>
              <w:ind w:left="2"/>
            </w:pPr>
            <w:r>
              <w:t xml:space="preserve"> IMPORTI </w:t>
            </w: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80 co. 2 lett. a) CCNL 16.11.2022 Premi collegati alla performance organizzativa.</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80 co. 2 lett. b) CCNL 16.11.2022 Premi collegati alla performance individuale.</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494"/>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jc w:val="both"/>
            </w:pPr>
            <w:r>
              <w:t>Art. 80 co. 2 lett. c) CCNL 16.11.2022 Indennità condizioni di lavoro di cui all'art. 70-bis CCNL 21.05.2018 (disagio, rischio, maneggio valori)</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80 co. 2 lett. d) CCNL 16.11.2022 Indennità di turno</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80 co. 2 lett. d) CCNL 16.11.2022 Indennità di reperibilità</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80 co. 2 lett. d) CCNL 16.11.2022 Compensi maggiorazione oraria ex art. 24, co. 1, CCNL 14.09.2000</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348"/>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80 co. 2 lett. e) CCNL 16.11.2022 Compensi per specifiche responsabilità secondo l'art. 84 CCNL 2019-2021</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80 co. 2 lett. f) CCNL 16.11.2022 Indennità di funzione di cui all'art. 97 (Polizia Locale)</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80 co. 2 lett. f) CCNL 16.11.2022 Indennità di servizio esterno di cui all'art. 100 (Polizia Locale)</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80 co. 2 lett. g) CCNL 16.11.2022 Compensi previsti da disposizioni di legge</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80 co. 2 lett. g) CCNL 16.11.2022 Compensi ISTAT ex art. 70-ter CCNL 21.05.2018</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80 c. 2 lett. h) CCNL 16.11.2022 Compensi ai messi notificatori</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80 c. 2 lett. i) CCNL 16.11.2022 Compensi al personale delle case da gioco</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Art. 80 c. 2 lett. j) CCNL 16.11.2022 Differenziali stipendiali con decorrenza nell'anno di riferimento</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lastRenderedPageBreak/>
              <w:t>Art. 80 c. 2 lett. k) CCNL 16.11.2022 Piani di welafare ex art. 82, co. 2</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Compensi ex art. 56-ter CCNL 21.05.2018 per servizi c/terzi</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Incentivi settore entrate tributarie ex art. 1, co. 1091, legge n. 145/2018</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Incentivi funzioni tecniche art. 45 del D. Lgs. n. 36/2023 (ex art. 113 del D. lgs. n. 50/2016)</w:t>
            </w:r>
          </w:p>
        </w:tc>
        <w:tc>
          <w:tcPr>
            <w:tcW w:w="1529" w:type="dxa"/>
            <w:tcBorders>
              <w:top w:val="single" w:sz="8" w:space="0" w:color="000000"/>
              <w:left w:val="single" w:sz="8" w:space="0" w:color="000000"/>
              <w:bottom w:val="single" w:sz="8" w:space="0" w:color="000000"/>
              <w:right w:val="single" w:sz="8" w:space="0" w:color="000000"/>
            </w:tcBorders>
          </w:tcPr>
          <w:p w:rsidR="00E512CC" w:rsidRDefault="00E512CC">
            <w:pPr>
              <w:spacing w:after="160"/>
              <w:ind w:left="0"/>
            </w:pP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shd w:val="clear" w:color="auto" w:fill="6711FF"/>
          </w:tcPr>
          <w:p w:rsidR="00E512CC" w:rsidRDefault="00C62582">
            <w:pPr>
              <w:spacing w:after="0"/>
              <w:ind w:left="0"/>
            </w:pPr>
            <w:r>
              <w:t>SOMMA UTILIZZO RISORSE VARIABILI</w:t>
            </w:r>
          </w:p>
        </w:tc>
        <w:tc>
          <w:tcPr>
            <w:tcW w:w="1529" w:type="dxa"/>
            <w:tcBorders>
              <w:top w:val="single" w:sz="8" w:space="0" w:color="000000"/>
              <w:left w:val="single" w:sz="8" w:space="0" w:color="000000"/>
              <w:bottom w:val="single" w:sz="8" w:space="0" w:color="000000"/>
              <w:right w:val="single" w:sz="8" w:space="0" w:color="000000"/>
            </w:tcBorders>
            <w:shd w:val="clear" w:color="auto" w:fill="6711FF"/>
          </w:tcPr>
          <w:p w:rsidR="00E512CC" w:rsidRDefault="00C62582">
            <w:pPr>
              <w:spacing w:after="0"/>
              <w:ind w:left="2"/>
            </w:pPr>
            <w:r>
              <w:t xml:space="preserve"> €                        -   </w:t>
            </w: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shd w:val="clear" w:color="auto" w:fill="FFCC00"/>
          </w:tcPr>
          <w:p w:rsidR="00E512CC" w:rsidRDefault="00C62582">
            <w:pPr>
              <w:spacing w:after="0"/>
              <w:ind w:left="0"/>
            </w:pPr>
            <w:r>
              <w:t>RIEPILOGO GENERALE</w:t>
            </w:r>
          </w:p>
        </w:tc>
        <w:tc>
          <w:tcPr>
            <w:tcW w:w="1529" w:type="dxa"/>
            <w:tcBorders>
              <w:top w:val="single" w:sz="8" w:space="0" w:color="000000"/>
              <w:left w:val="single" w:sz="8" w:space="0" w:color="000000"/>
              <w:bottom w:val="single" w:sz="8" w:space="0" w:color="000000"/>
              <w:right w:val="single" w:sz="8" w:space="0" w:color="000000"/>
            </w:tcBorders>
            <w:shd w:val="clear" w:color="auto" w:fill="FFCC00"/>
          </w:tcPr>
          <w:p w:rsidR="00E512CC" w:rsidRDefault="00C62582">
            <w:pPr>
              <w:spacing w:after="0"/>
              <w:ind w:left="2"/>
            </w:pPr>
            <w:r>
              <w:t xml:space="preserve"> IMPORTI </w:t>
            </w: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TOTALE RISORSE DISPONIBILI</w:t>
            </w:r>
          </w:p>
        </w:tc>
        <w:tc>
          <w:tcPr>
            <w:tcW w:w="1529"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2"/>
            </w:pPr>
            <w:r>
              <w:t xml:space="preserve"> €       286.824,50 </w:t>
            </w: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TOTALE UTILIZZO</w:t>
            </w:r>
          </w:p>
        </w:tc>
        <w:tc>
          <w:tcPr>
            <w:tcW w:w="1529"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2"/>
              <w:jc w:val="both"/>
            </w:pPr>
            <w:r>
              <w:t xml:space="preserve"> €          73.000,00 </w:t>
            </w: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shd w:val="clear" w:color="auto" w:fill="FFCC00"/>
          </w:tcPr>
          <w:p w:rsidR="00E512CC" w:rsidRDefault="00C62582">
            <w:pPr>
              <w:spacing w:after="0"/>
              <w:ind w:left="0"/>
            </w:pPr>
            <w:r>
              <w:t>DISPONIBILITA'</w:t>
            </w:r>
          </w:p>
        </w:tc>
        <w:tc>
          <w:tcPr>
            <w:tcW w:w="1529" w:type="dxa"/>
            <w:tcBorders>
              <w:top w:val="single" w:sz="8" w:space="0" w:color="000000"/>
              <w:left w:val="single" w:sz="8" w:space="0" w:color="000000"/>
              <w:bottom w:val="single" w:sz="8" w:space="0" w:color="000000"/>
              <w:right w:val="single" w:sz="8" w:space="0" w:color="000000"/>
            </w:tcBorders>
            <w:shd w:val="clear" w:color="auto" w:fill="FFCC00"/>
          </w:tcPr>
          <w:p w:rsidR="00E512CC" w:rsidRDefault="00C62582">
            <w:pPr>
              <w:spacing w:after="0"/>
              <w:ind w:left="2"/>
            </w:pPr>
            <w:r>
              <w:t xml:space="preserve"> €       213.824,50 </w:t>
            </w: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RISORSE CHE NON TRANSITANO NEL FONDO</w:t>
            </w:r>
          </w:p>
        </w:tc>
        <w:tc>
          <w:tcPr>
            <w:tcW w:w="1529"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 xml:space="preserve"> IMPORTI </w:t>
            </w: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Fondo lavoro straordinario  (ART. 14 CCNL 01.04.1999)</w:t>
            </w:r>
          </w:p>
        </w:tc>
        <w:tc>
          <w:tcPr>
            <w:tcW w:w="1529"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 xml:space="preserve"> €         11.290,00 </w:t>
            </w:r>
          </w:p>
        </w:tc>
      </w:tr>
      <w:tr w:rsidR="00E512CC">
        <w:trPr>
          <w:trHeight w:val="247"/>
        </w:trPr>
        <w:tc>
          <w:tcPr>
            <w:tcW w:w="9461"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Fondo Elevate qualificazioni</w:t>
            </w:r>
          </w:p>
        </w:tc>
        <w:tc>
          <w:tcPr>
            <w:tcW w:w="1529" w:type="dxa"/>
            <w:tcBorders>
              <w:top w:val="single" w:sz="8" w:space="0" w:color="000000"/>
              <w:left w:val="single" w:sz="8" w:space="0" w:color="000000"/>
              <w:bottom w:val="single" w:sz="8" w:space="0" w:color="000000"/>
              <w:right w:val="single" w:sz="8" w:space="0" w:color="000000"/>
            </w:tcBorders>
          </w:tcPr>
          <w:p w:rsidR="00E512CC" w:rsidRDefault="00C62582">
            <w:pPr>
              <w:spacing w:after="0"/>
              <w:ind w:left="0"/>
            </w:pPr>
            <w:r>
              <w:t xml:space="preserve"> €         65.500,00 </w:t>
            </w:r>
          </w:p>
        </w:tc>
      </w:tr>
    </w:tbl>
    <w:p w:rsidR="00E512CC" w:rsidRDefault="00E512CC" w:rsidP="00C62582"/>
    <w:sectPr w:rsidR="00E512CC" w:rsidSect="00772B18">
      <w:pgSz w:w="11906" w:h="16838"/>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283"/>
  <w:characterSpacingControl w:val="doNotCompress"/>
  <w:compat>
    <w:useFELayout/>
  </w:compat>
  <w:rsids>
    <w:rsidRoot w:val="00E512CC"/>
    <w:rsid w:val="003627AF"/>
    <w:rsid w:val="00772B18"/>
    <w:rsid w:val="00C62582"/>
    <w:rsid w:val="00E512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2B18"/>
    <w:pPr>
      <w:spacing w:after="84"/>
      <w:ind w:left="823"/>
    </w:pPr>
    <w:rPr>
      <w:rFonts w:ascii="Times New Roman" w:eastAsia="Times New Roman" w:hAnsi="Times New Roman" w:cs="Times New Roman"/>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772B18"/>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1800</Words>
  <Characters>10265</Characters>
  <Application>Microsoft Office Word</Application>
  <DocSecurity>0</DocSecurity>
  <Lines>85</Lines>
  <Paragraphs>24</Paragraphs>
  <ScaleCrop>false</ScaleCrop>
  <Company>HP Inc.</Company>
  <LinksUpToDate>false</LinksUpToDate>
  <CharactersWithSpaces>12041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PROVVISORIO_2024_TREP.xlsx</dc:title>
  <dc:creator>mancinol</dc:creator>
  <cp:lastModifiedBy>BiscontiB</cp:lastModifiedBy>
  <cp:revision>2</cp:revision>
  <dcterms:created xsi:type="dcterms:W3CDTF">2024-09-02T06:24:00Z</dcterms:created>
  <dcterms:modified xsi:type="dcterms:W3CDTF">2024-09-02T06:24:00Z</dcterms:modified>
</cp:coreProperties>
</file>